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93956" w14:textId="186E8DE7" w:rsidR="0031696C" w:rsidRDefault="00F564C9" w:rsidP="008015A8">
      <w:pPr>
        <w:pStyle w:val="Heading1"/>
        <w:spacing w:before="60"/>
        <w:ind w:left="0" w:right="50" w:firstLine="0"/>
        <w:jc w:val="center"/>
      </w:pPr>
      <w:bookmarkStart w:id="0" w:name="_Hlk73538756"/>
      <w:r>
        <w:t xml:space="preserve">Recommendations for </w:t>
      </w:r>
      <w:r w:rsidR="005027DF">
        <w:t>Conducting</w:t>
      </w:r>
      <w:r w:rsidR="00E3703B">
        <w:t xml:space="preserve"> </w:t>
      </w:r>
      <w:r w:rsidR="0031696C">
        <w:t>Proficiency</w:t>
      </w:r>
      <w:r w:rsidR="002A7247">
        <w:t>/Performance</w:t>
      </w:r>
      <w:r w:rsidR="0031696C">
        <w:t xml:space="preserve"> Testing Programs </w:t>
      </w:r>
      <w:r w:rsidR="00E3703B">
        <w:t xml:space="preserve">of the </w:t>
      </w:r>
      <w:r w:rsidR="008015A8">
        <w:t>Integrated Consortium of Laboratory Networks</w:t>
      </w:r>
    </w:p>
    <w:bookmarkEnd w:id="0"/>
    <w:p w14:paraId="1742A991" w14:textId="759E5977" w:rsidR="00662A18" w:rsidRDefault="00A833E5" w:rsidP="008015A8">
      <w:pPr>
        <w:pStyle w:val="Heading1"/>
        <w:spacing w:before="60"/>
        <w:ind w:left="0" w:right="50" w:firstLine="0"/>
        <w:jc w:val="center"/>
      </w:pPr>
      <w:r>
        <w:t>November 14</w:t>
      </w:r>
      <w:r w:rsidR="00E96E31">
        <w:t>, 2021</w:t>
      </w:r>
    </w:p>
    <w:p w14:paraId="59A32F60" w14:textId="77777777" w:rsidR="00D85D1A" w:rsidRDefault="00D85D1A">
      <w:pPr>
        <w:pStyle w:val="BodyText"/>
        <w:spacing w:before="9"/>
        <w:ind w:left="0" w:firstLine="0"/>
        <w:rPr>
          <w:b/>
          <w:sz w:val="28"/>
        </w:rPr>
      </w:pPr>
    </w:p>
    <w:p w14:paraId="38A4FFEF" w14:textId="62F41578" w:rsidR="00A94533" w:rsidRPr="005A75DA" w:rsidRDefault="00A94533" w:rsidP="00E90FDC">
      <w:pPr>
        <w:rPr>
          <w:b/>
          <w:bCs/>
        </w:rPr>
      </w:pPr>
      <w:r w:rsidRPr="005A75DA">
        <w:rPr>
          <w:b/>
          <w:bCs/>
        </w:rPr>
        <w:t>BACKGROUND</w:t>
      </w:r>
    </w:p>
    <w:p w14:paraId="23D4C684" w14:textId="1141E174" w:rsidR="008015A8" w:rsidRPr="007F3F8E" w:rsidRDefault="00AB1481" w:rsidP="00E90FDC">
      <w:pPr>
        <w:rPr>
          <w:sz w:val="24"/>
          <w:szCs w:val="24"/>
        </w:rPr>
      </w:pPr>
      <w:r w:rsidRPr="007F3F8E">
        <w:rPr>
          <w:sz w:val="24"/>
          <w:szCs w:val="24"/>
        </w:rPr>
        <w:t>Proficiency</w:t>
      </w:r>
      <w:r w:rsidR="00A71E70" w:rsidRPr="007F3F8E">
        <w:rPr>
          <w:sz w:val="24"/>
          <w:szCs w:val="24"/>
        </w:rPr>
        <w:t>/Performance</w:t>
      </w:r>
      <w:r w:rsidRPr="007F3F8E">
        <w:rPr>
          <w:sz w:val="24"/>
          <w:szCs w:val="24"/>
        </w:rPr>
        <w:t xml:space="preserve"> </w:t>
      </w:r>
      <w:r w:rsidR="00A71E70" w:rsidRPr="007F3F8E">
        <w:rPr>
          <w:sz w:val="24"/>
          <w:szCs w:val="24"/>
        </w:rPr>
        <w:t>T</w:t>
      </w:r>
      <w:r w:rsidRPr="007F3F8E">
        <w:rPr>
          <w:sz w:val="24"/>
          <w:szCs w:val="24"/>
        </w:rPr>
        <w:t>esting</w:t>
      </w:r>
      <w:r w:rsidR="00A71E70" w:rsidRPr="007F3F8E">
        <w:rPr>
          <w:sz w:val="24"/>
          <w:szCs w:val="24"/>
        </w:rPr>
        <w:t xml:space="preserve"> (PT)</w:t>
      </w:r>
      <w:r w:rsidRPr="007F3F8E">
        <w:rPr>
          <w:sz w:val="24"/>
          <w:szCs w:val="24"/>
        </w:rPr>
        <w:t xml:space="preserve"> is one of the key </w:t>
      </w:r>
      <w:r w:rsidR="00FA7654" w:rsidRPr="007F3F8E">
        <w:rPr>
          <w:sz w:val="24"/>
          <w:szCs w:val="24"/>
        </w:rPr>
        <w:t>mechanisms</w:t>
      </w:r>
      <w:r w:rsidRPr="007F3F8E">
        <w:rPr>
          <w:sz w:val="24"/>
          <w:szCs w:val="24"/>
        </w:rPr>
        <w:t xml:space="preserve"> for assuring the </w:t>
      </w:r>
      <w:r w:rsidR="0035201C" w:rsidRPr="007F3F8E">
        <w:rPr>
          <w:sz w:val="24"/>
          <w:szCs w:val="24"/>
        </w:rPr>
        <w:t xml:space="preserve">measurement </w:t>
      </w:r>
      <w:r w:rsidRPr="007F3F8E">
        <w:rPr>
          <w:sz w:val="24"/>
          <w:szCs w:val="24"/>
        </w:rPr>
        <w:t>capability</w:t>
      </w:r>
      <w:r w:rsidR="00167EBB" w:rsidRPr="007F3F8E">
        <w:rPr>
          <w:sz w:val="24"/>
          <w:szCs w:val="24"/>
        </w:rPr>
        <w:t xml:space="preserve"> and competency</w:t>
      </w:r>
      <w:r w:rsidRPr="007F3F8E">
        <w:rPr>
          <w:sz w:val="24"/>
          <w:szCs w:val="24"/>
        </w:rPr>
        <w:t xml:space="preserve"> of individual network member laboratories and of the network as a whole to conduct analytical methods in a satisfactory manner. </w:t>
      </w:r>
      <w:r w:rsidR="00C72CAA" w:rsidRPr="007F3F8E">
        <w:rPr>
          <w:sz w:val="24"/>
          <w:szCs w:val="24"/>
        </w:rPr>
        <w:t xml:space="preserve"> </w:t>
      </w:r>
      <w:r w:rsidRPr="007F3F8E">
        <w:rPr>
          <w:sz w:val="24"/>
          <w:szCs w:val="24"/>
        </w:rPr>
        <w:t xml:space="preserve">A proficiency </w:t>
      </w:r>
      <w:r w:rsidR="00A71E70" w:rsidRPr="007F3F8E">
        <w:rPr>
          <w:sz w:val="24"/>
          <w:szCs w:val="24"/>
        </w:rPr>
        <w:t xml:space="preserve">or performance </w:t>
      </w:r>
      <w:r w:rsidRPr="007F3F8E">
        <w:rPr>
          <w:sz w:val="24"/>
          <w:szCs w:val="24"/>
        </w:rPr>
        <w:t xml:space="preserve">test (PT) is </w:t>
      </w:r>
      <w:r w:rsidR="00FA7654" w:rsidRPr="007F3F8E">
        <w:rPr>
          <w:sz w:val="24"/>
          <w:szCs w:val="24"/>
        </w:rPr>
        <w:t xml:space="preserve">one of many </w:t>
      </w:r>
      <w:proofErr w:type="gramStart"/>
      <w:r w:rsidR="00FA7654" w:rsidRPr="007F3F8E">
        <w:rPr>
          <w:sz w:val="24"/>
          <w:szCs w:val="24"/>
        </w:rPr>
        <w:t>quality</w:t>
      </w:r>
      <w:proofErr w:type="gramEnd"/>
      <w:r w:rsidR="00FA7654" w:rsidRPr="007F3F8E">
        <w:rPr>
          <w:sz w:val="24"/>
          <w:szCs w:val="24"/>
        </w:rPr>
        <w:t xml:space="preserve"> assurance measures where</w:t>
      </w:r>
      <w:r w:rsidR="00167EBB" w:rsidRPr="007F3F8E">
        <w:rPr>
          <w:sz w:val="24"/>
          <w:szCs w:val="24"/>
        </w:rPr>
        <w:t xml:space="preserve"> </w:t>
      </w:r>
      <w:r w:rsidRPr="007F3F8E">
        <w:rPr>
          <w:sz w:val="24"/>
          <w:szCs w:val="24"/>
        </w:rPr>
        <w:t>samples</w:t>
      </w:r>
      <w:r w:rsidR="00FA7654" w:rsidRPr="007F3F8E">
        <w:rPr>
          <w:sz w:val="24"/>
          <w:szCs w:val="24"/>
        </w:rPr>
        <w:t xml:space="preserve"> are submitted</w:t>
      </w:r>
      <w:r w:rsidRPr="007F3F8E">
        <w:rPr>
          <w:sz w:val="24"/>
          <w:szCs w:val="24"/>
        </w:rPr>
        <w:t xml:space="preserve"> to a group of laboratories for analysis</w:t>
      </w:r>
      <w:r w:rsidR="00547C16" w:rsidRPr="007F3F8E">
        <w:rPr>
          <w:sz w:val="24"/>
          <w:szCs w:val="24"/>
        </w:rPr>
        <w:t>,</w:t>
      </w:r>
      <w:r w:rsidRPr="007F3F8E">
        <w:rPr>
          <w:sz w:val="24"/>
          <w:szCs w:val="24"/>
        </w:rPr>
        <w:t xml:space="preserve"> with results being compared to expected/standard/consensus values</w:t>
      </w:r>
      <w:r w:rsidR="00962598" w:rsidRPr="007F3F8E">
        <w:rPr>
          <w:sz w:val="24"/>
          <w:szCs w:val="24"/>
        </w:rPr>
        <w:t xml:space="preserve"> to assess the quality of the work relative to the particular</w:t>
      </w:r>
      <w:r w:rsidR="009A6A0A" w:rsidRPr="007F3F8E">
        <w:rPr>
          <w:sz w:val="24"/>
          <w:szCs w:val="24"/>
        </w:rPr>
        <w:t xml:space="preserve"> challenge</w:t>
      </w:r>
      <w:r w:rsidR="00962598" w:rsidRPr="007F3F8E">
        <w:rPr>
          <w:sz w:val="24"/>
          <w:szCs w:val="24"/>
        </w:rPr>
        <w:t xml:space="preserve"> sample analyte/matrix combinations</w:t>
      </w:r>
      <w:r w:rsidRPr="007F3F8E">
        <w:rPr>
          <w:sz w:val="24"/>
          <w:szCs w:val="24"/>
        </w:rPr>
        <w:t xml:space="preserve">.  </w:t>
      </w:r>
      <w:r w:rsidR="00962598" w:rsidRPr="007F3F8E">
        <w:rPr>
          <w:sz w:val="24"/>
          <w:szCs w:val="24"/>
        </w:rPr>
        <w:t>It is recognized that there are other valuable interlaboratory comparison tools that may be utilized to assess other laboratory capabilities</w:t>
      </w:r>
      <w:r w:rsidR="009A6A0A" w:rsidRPr="007F3F8E">
        <w:rPr>
          <w:sz w:val="24"/>
          <w:szCs w:val="24"/>
        </w:rPr>
        <w:t xml:space="preserve"> that are a part of an overall quality assessment program.</w:t>
      </w:r>
    </w:p>
    <w:p w14:paraId="3F6E58D3" w14:textId="77777777" w:rsidR="008015A8" w:rsidRDefault="008015A8" w:rsidP="00E90FDC"/>
    <w:p w14:paraId="6AB0EFF7" w14:textId="347C3C17" w:rsidR="00A94533" w:rsidRPr="005A75DA" w:rsidRDefault="0031696C" w:rsidP="00E90FDC">
      <w:pPr>
        <w:rPr>
          <w:b/>
          <w:bCs/>
        </w:rPr>
      </w:pPr>
      <w:r w:rsidRPr="005A75DA">
        <w:rPr>
          <w:b/>
          <w:bCs/>
        </w:rPr>
        <w:t>PURPOSE</w:t>
      </w:r>
      <w:r w:rsidR="007B1A8E" w:rsidRPr="005A75DA">
        <w:rPr>
          <w:b/>
          <w:bCs/>
        </w:rPr>
        <w:t>/SCOPE</w:t>
      </w:r>
    </w:p>
    <w:p w14:paraId="1EA9FA88" w14:textId="17132411" w:rsidR="00C473AB" w:rsidRPr="007F3F8E" w:rsidRDefault="00A94533" w:rsidP="00A94533">
      <w:pPr>
        <w:spacing w:after="180"/>
        <w:rPr>
          <w:sz w:val="24"/>
          <w:szCs w:val="24"/>
        </w:rPr>
      </w:pPr>
      <w:r w:rsidRPr="007F3F8E">
        <w:rPr>
          <w:sz w:val="24"/>
          <w:szCs w:val="24"/>
        </w:rPr>
        <w:t>The Integrated Consortium of Laboratory Network</w:t>
      </w:r>
      <w:r w:rsidR="005F07E0" w:rsidRPr="007F3F8E">
        <w:rPr>
          <w:sz w:val="24"/>
          <w:szCs w:val="24"/>
        </w:rPr>
        <w:t>’</w:t>
      </w:r>
      <w:r w:rsidRPr="007F3F8E">
        <w:rPr>
          <w:sz w:val="24"/>
          <w:szCs w:val="24"/>
        </w:rPr>
        <w:t xml:space="preserve">s (ICLN) primary or lead response network is typically managed by or overseen by the </w:t>
      </w:r>
      <w:r w:rsidR="008D6E70" w:rsidRPr="007F3F8E">
        <w:rPr>
          <w:sz w:val="24"/>
          <w:szCs w:val="24"/>
        </w:rPr>
        <w:t>r</w:t>
      </w:r>
      <w:r w:rsidRPr="007F3F8E">
        <w:rPr>
          <w:sz w:val="24"/>
          <w:szCs w:val="24"/>
        </w:rPr>
        <w:t>esponsible Federal Department/Agency for a given phase of response</w:t>
      </w:r>
      <w:r w:rsidR="008D6E70" w:rsidRPr="007F3F8E">
        <w:rPr>
          <w:sz w:val="24"/>
          <w:szCs w:val="24"/>
        </w:rPr>
        <w:t>.</w:t>
      </w:r>
      <w:r w:rsidR="00982A2E" w:rsidRPr="007F3F8E">
        <w:rPr>
          <w:sz w:val="24"/>
          <w:szCs w:val="24"/>
        </w:rPr>
        <w:t xml:space="preserve"> </w:t>
      </w:r>
      <w:r w:rsidR="008D6E70" w:rsidRPr="007F3F8E">
        <w:rPr>
          <w:sz w:val="24"/>
          <w:szCs w:val="24"/>
        </w:rPr>
        <w:t>The lead response network</w:t>
      </w:r>
      <w:r w:rsidRPr="007F3F8E">
        <w:rPr>
          <w:sz w:val="24"/>
          <w:szCs w:val="24"/>
        </w:rPr>
        <w:t xml:space="preserve"> has the statutory obligation to respond to the incident </w:t>
      </w:r>
      <w:r w:rsidR="00D25FAB" w:rsidRPr="007F3F8E">
        <w:rPr>
          <w:sz w:val="24"/>
          <w:szCs w:val="24"/>
        </w:rPr>
        <w:t>due to its</w:t>
      </w:r>
      <w:r w:rsidRPr="007F3F8E">
        <w:rPr>
          <w:sz w:val="24"/>
          <w:szCs w:val="24"/>
        </w:rPr>
        <w:t xml:space="preserve"> capabilities for analyzing samples of a specific matrix or agent of concern.  </w:t>
      </w:r>
    </w:p>
    <w:p w14:paraId="6A1955AA" w14:textId="4BEC2786" w:rsidR="005A3298" w:rsidRPr="007F3F8E" w:rsidRDefault="00B36DFA" w:rsidP="00A94533">
      <w:pPr>
        <w:spacing w:after="180"/>
        <w:rPr>
          <w:sz w:val="24"/>
          <w:szCs w:val="24"/>
        </w:rPr>
      </w:pPr>
      <w:bookmarkStart w:id="1" w:name="_Hlk73538871"/>
      <w:r w:rsidRPr="007F3F8E">
        <w:rPr>
          <w:sz w:val="24"/>
          <w:szCs w:val="24"/>
        </w:rPr>
        <w:t xml:space="preserve">The purpose of this document is to </w:t>
      </w:r>
      <w:r w:rsidR="0072147A" w:rsidRPr="007F3F8E">
        <w:rPr>
          <w:sz w:val="24"/>
          <w:szCs w:val="24"/>
        </w:rPr>
        <w:t xml:space="preserve">recommend </w:t>
      </w:r>
      <w:r w:rsidRPr="007F3F8E">
        <w:rPr>
          <w:sz w:val="24"/>
          <w:szCs w:val="24"/>
        </w:rPr>
        <w:t xml:space="preserve">and promote the understanding and use across ICLN member networks of common elements of effective PT programs.  Neither the ICLN nor any agency other than a network’s proponent Federal agency, operating through a </w:t>
      </w:r>
      <w:bookmarkStart w:id="2" w:name="_Hlk73539646"/>
      <w:r w:rsidRPr="007F3F8E">
        <w:rPr>
          <w:sz w:val="24"/>
          <w:szCs w:val="24"/>
        </w:rPr>
        <w:t>Network Program Office</w:t>
      </w:r>
      <w:r w:rsidR="00831C85" w:rsidRPr="007F3F8E">
        <w:rPr>
          <w:sz w:val="24"/>
          <w:szCs w:val="24"/>
        </w:rPr>
        <w:t xml:space="preserve"> </w:t>
      </w:r>
      <w:bookmarkEnd w:id="2"/>
      <w:r w:rsidR="00831C85" w:rsidRPr="007F3F8E">
        <w:rPr>
          <w:sz w:val="24"/>
          <w:szCs w:val="24"/>
        </w:rPr>
        <w:t>(NPO)</w:t>
      </w:r>
      <w:r w:rsidRPr="007F3F8E">
        <w:rPr>
          <w:sz w:val="24"/>
          <w:szCs w:val="24"/>
        </w:rPr>
        <w:t>, can impose requirements on that network’s member laboratories</w:t>
      </w:r>
      <w:r w:rsidR="00C72CAA" w:rsidRPr="007F3F8E">
        <w:rPr>
          <w:sz w:val="24"/>
          <w:szCs w:val="24"/>
        </w:rPr>
        <w:t xml:space="preserve"> in service to the NPO</w:t>
      </w:r>
      <w:r w:rsidRPr="007F3F8E">
        <w:rPr>
          <w:sz w:val="24"/>
          <w:szCs w:val="24"/>
        </w:rPr>
        <w:t xml:space="preserve">.  </w:t>
      </w:r>
    </w:p>
    <w:bookmarkEnd w:id="1"/>
    <w:p w14:paraId="3C658181" w14:textId="7531C43A" w:rsidR="00C473AB" w:rsidRPr="007F3F8E" w:rsidRDefault="00AB1481" w:rsidP="00A94533">
      <w:pPr>
        <w:spacing w:after="180"/>
        <w:rPr>
          <w:sz w:val="24"/>
          <w:szCs w:val="24"/>
        </w:rPr>
      </w:pPr>
      <w:r w:rsidRPr="007F3F8E">
        <w:rPr>
          <w:sz w:val="24"/>
          <w:szCs w:val="24"/>
        </w:rPr>
        <w:t>The Federal agency</w:t>
      </w:r>
      <w:r w:rsidR="00C72CAA" w:rsidRPr="007F3F8E">
        <w:rPr>
          <w:sz w:val="24"/>
          <w:szCs w:val="24"/>
        </w:rPr>
        <w:t>/NPO</w:t>
      </w:r>
      <w:r w:rsidR="00CB6E2B" w:rsidRPr="007F3F8E">
        <w:rPr>
          <w:sz w:val="24"/>
          <w:szCs w:val="24"/>
        </w:rPr>
        <w:t xml:space="preserve"> administering </w:t>
      </w:r>
      <w:r w:rsidR="00C72CAA" w:rsidRPr="007F3F8E">
        <w:rPr>
          <w:sz w:val="24"/>
          <w:szCs w:val="24"/>
        </w:rPr>
        <w:t>PTs</w:t>
      </w:r>
      <w:r w:rsidR="00CB6E2B" w:rsidRPr="007F3F8E">
        <w:rPr>
          <w:sz w:val="24"/>
          <w:szCs w:val="24"/>
        </w:rPr>
        <w:t xml:space="preserve"> is responsible for establishing the</w:t>
      </w:r>
      <w:r w:rsidRPr="007F3F8E">
        <w:rPr>
          <w:sz w:val="24"/>
          <w:szCs w:val="24"/>
        </w:rPr>
        <w:t xml:space="preserve"> PT requirements </w:t>
      </w:r>
      <w:r w:rsidR="00C72CAA" w:rsidRPr="007F3F8E">
        <w:rPr>
          <w:sz w:val="24"/>
          <w:szCs w:val="24"/>
        </w:rPr>
        <w:t>incumbent on</w:t>
      </w:r>
      <w:r w:rsidRPr="007F3F8E">
        <w:rPr>
          <w:sz w:val="24"/>
          <w:szCs w:val="24"/>
        </w:rPr>
        <w:t xml:space="preserve"> its network </w:t>
      </w:r>
      <w:r w:rsidR="00C72CAA" w:rsidRPr="007F3F8E">
        <w:rPr>
          <w:sz w:val="24"/>
          <w:szCs w:val="24"/>
        </w:rPr>
        <w:t xml:space="preserve">laboratory </w:t>
      </w:r>
      <w:r w:rsidRPr="007F3F8E">
        <w:rPr>
          <w:sz w:val="24"/>
          <w:szCs w:val="24"/>
        </w:rPr>
        <w:t xml:space="preserve">members. </w:t>
      </w:r>
      <w:r w:rsidR="00C72CAA" w:rsidRPr="007F3F8E">
        <w:rPr>
          <w:sz w:val="24"/>
          <w:szCs w:val="24"/>
        </w:rPr>
        <w:t xml:space="preserve"> </w:t>
      </w:r>
      <w:r w:rsidR="00022621" w:rsidRPr="007F3F8E">
        <w:rPr>
          <w:sz w:val="24"/>
          <w:szCs w:val="24"/>
        </w:rPr>
        <w:t>M</w:t>
      </w:r>
      <w:r w:rsidRPr="007F3F8E">
        <w:rPr>
          <w:sz w:val="24"/>
          <w:szCs w:val="24"/>
        </w:rPr>
        <w:t>inimum requirements</w:t>
      </w:r>
      <w:r w:rsidR="00022621" w:rsidRPr="007F3F8E">
        <w:rPr>
          <w:sz w:val="24"/>
          <w:szCs w:val="24"/>
        </w:rPr>
        <w:t xml:space="preserve"> for PT</w:t>
      </w:r>
      <w:r w:rsidRPr="007F3F8E">
        <w:rPr>
          <w:sz w:val="24"/>
          <w:szCs w:val="24"/>
        </w:rPr>
        <w:t xml:space="preserve"> </w:t>
      </w:r>
      <w:r w:rsidR="00D25FAB" w:rsidRPr="007F3F8E">
        <w:rPr>
          <w:sz w:val="24"/>
          <w:szCs w:val="24"/>
        </w:rPr>
        <w:t xml:space="preserve">programs </w:t>
      </w:r>
      <w:r w:rsidR="00022621" w:rsidRPr="007F3F8E">
        <w:rPr>
          <w:sz w:val="24"/>
          <w:szCs w:val="24"/>
        </w:rPr>
        <w:t xml:space="preserve">are </w:t>
      </w:r>
      <w:r w:rsidRPr="007F3F8E">
        <w:rPr>
          <w:sz w:val="24"/>
          <w:szCs w:val="24"/>
        </w:rPr>
        <w:t>subject to existing authorities, policies</w:t>
      </w:r>
      <w:r w:rsidR="00547C16" w:rsidRPr="007F3F8E">
        <w:rPr>
          <w:sz w:val="24"/>
          <w:szCs w:val="24"/>
        </w:rPr>
        <w:t>,</w:t>
      </w:r>
      <w:r w:rsidRPr="007F3F8E">
        <w:rPr>
          <w:sz w:val="24"/>
          <w:szCs w:val="24"/>
        </w:rPr>
        <w:t xml:space="preserve"> and protocols within a department/agency or </w:t>
      </w:r>
      <w:r w:rsidR="00566E11" w:rsidRPr="007F3F8E">
        <w:rPr>
          <w:sz w:val="24"/>
          <w:szCs w:val="24"/>
        </w:rPr>
        <w:t xml:space="preserve">relevant </w:t>
      </w:r>
      <w:r w:rsidRPr="007F3F8E">
        <w:rPr>
          <w:sz w:val="24"/>
          <w:szCs w:val="24"/>
        </w:rPr>
        <w:t xml:space="preserve">external accrediting organizations. </w:t>
      </w:r>
      <w:r w:rsidR="00C72CAA" w:rsidRPr="007F3F8E">
        <w:rPr>
          <w:sz w:val="24"/>
          <w:szCs w:val="24"/>
        </w:rPr>
        <w:t xml:space="preserve"> </w:t>
      </w:r>
      <w:r w:rsidRPr="007F3F8E">
        <w:rPr>
          <w:sz w:val="24"/>
          <w:szCs w:val="24"/>
        </w:rPr>
        <w:t xml:space="preserve">To reflect these considerations, all recommendations in this document are directed at the Network Program Office (NPO) and </w:t>
      </w:r>
      <w:r w:rsidR="00D25FAB" w:rsidRPr="007F3F8E">
        <w:rPr>
          <w:sz w:val="24"/>
          <w:szCs w:val="24"/>
        </w:rPr>
        <w:t>use the non-directive term</w:t>
      </w:r>
      <w:r w:rsidRPr="007F3F8E">
        <w:rPr>
          <w:sz w:val="24"/>
          <w:szCs w:val="24"/>
        </w:rPr>
        <w:t xml:space="preserve"> ‘should.’ </w:t>
      </w:r>
    </w:p>
    <w:p w14:paraId="7EF2AAF8" w14:textId="0C2E71B0" w:rsidR="001B526F" w:rsidRPr="007F3F8E" w:rsidRDefault="00AB1481" w:rsidP="001B526F">
      <w:pPr>
        <w:rPr>
          <w:sz w:val="24"/>
          <w:szCs w:val="24"/>
        </w:rPr>
      </w:pPr>
      <w:r w:rsidRPr="007F3F8E">
        <w:rPr>
          <w:sz w:val="24"/>
          <w:szCs w:val="24"/>
        </w:rPr>
        <w:t xml:space="preserve">Each individual NPO ensures compliance </w:t>
      </w:r>
      <w:r w:rsidR="00566E11" w:rsidRPr="007F3F8E">
        <w:rPr>
          <w:sz w:val="24"/>
          <w:szCs w:val="24"/>
        </w:rPr>
        <w:t xml:space="preserve">of its member laboratories with PT requirements </w:t>
      </w:r>
      <w:r w:rsidRPr="007F3F8E">
        <w:rPr>
          <w:sz w:val="24"/>
          <w:szCs w:val="24"/>
        </w:rPr>
        <w:t xml:space="preserve">through membership policies. </w:t>
      </w:r>
      <w:r w:rsidR="00566E11" w:rsidRPr="007F3F8E">
        <w:rPr>
          <w:sz w:val="24"/>
          <w:szCs w:val="24"/>
        </w:rPr>
        <w:t xml:space="preserve"> </w:t>
      </w:r>
      <w:r w:rsidRPr="007F3F8E">
        <w:rPr>
          <w:sz w:val="24"/>
          <w:szCs w:val="24"/>
        </w:rPr>
        <w:t xml:space="preserve">Resources permitting, the information </w:t>
      </w:r>
      <w:r w:rsidR="007E1BDE" w:rsidRPr="007F3F8E">
        <w:rPr>
          <w:sz w:val="24"/>
          <w:szCs w:val="24"/>
        </w:rPr>
        <w:t xml:space="preserve">provided in this document </w:t>
      </w:r>
      <w:r w:rsidR="00CC4E20" w:rsidRPr="007F3F8E">
        <w:rPr>
          <w:sz w:val="24"/>
          <w:szCs w:val="24"/>
        </w:rPr>
        <w:t>outlines recommended</w:t>
      </w:r>
      <w:r w:rsidR="00610FD0" w:rsidRPr="007F3F8E">
        <w:rPr>
          <w:sz w:val="24"/>
          <w:szCs w:val="24"/>
        </w:rPr>
        <w:t xml:space="preserve"> </w:t>
      </w:r>
      <w:r w:rsidRPr="007F3F8E">
        <w:rPr>
          <w:sz w:val="24"/>
          <w:szCs w:val="24"/>
        </w:rPr>
        <w:t>best practices among member networks of the</w:t>
      </w:r>
      <w:r w:rsidR="00A94533" w:rsidRPr="007F3F8E">
        <w:rPr>
          <w:sz w:val="24"/>
          <w:szCs w:val="24"/>
        </w:rPr>
        <w:t xml:space="preserve"> </w:t>
      </w:r>
      <w:r w:rsidRPr="007F3F8E">
        <w:rPr>
          <w:sz w:val="24"/>
          <w:szCs w:val="24"/>
        </w:rPr>
        <w:t>ICLN</w:t>
      </w:r>
      <w:r w:rsidR="00000A21" w:rsidRPr="007F3F8E">
        <w:rPr>
          <w:sz w:val="24"/>
          <w:szCs w:val="24"/>
        </w:rPr>
        <w:t>.</w:t>
      </w:r>
      <w:r w:rsidRPr="007F3F8E">
        <w:rPr>
          <w:sz w:val="24"/>
          <w:szCs w:val="24"/>
        </w:rPr>
        <w:t xml:space="preserve"> </w:t>
      </w:r>
      <w:r w:rsidR="00000A21" w:rsidRPr="007F3F8E">
        <w:rPr>
          <w:sz w:val="24"/>
          <w:szCs w:val="24"/>
        </w:rPr>
        <w:t>T</w:t>
      </w:r>
      <w:r w:rsidRPr="007F3F8E">
        <w:rPr>
          <w:sz w:val="24"/>
          <w:szCs w:val="24"/>
        </w:rPr>
        <w:t xml:space="preserve">he objective of </w:t>
      </w:r>
      <w:r w:rsidR="00000A21" w:rsidRPr="007F3F8E">
        <w:rPr>
          <w:sz w:val="24"/>
          <w:szCs w:val="24"/>
        </w:rPr>
        <w:t xml:space="preserve">this document is to </w:t>
      </w:r>
      <w:r w:rsidR="00610FD0" w:rsidRPr="007F3F8E">
        <w:rPr>
          <w:sz w:val="24"/>
          <w:szCs w:val="24"/>
        </w:rPr>
        <w:t xml:space="preserve">promote </w:t>
      </w:r>
      <w:r w:rsidRPr="007F3F8E">
        <w:rPr>
          <w:sz w:val="24"/>
          <w:szCs w:val="24"/>
        </w:rPr>
        <w:t>consisten</w:t>
      </w:r>
      <w:r w:rsidR="00000A21" w:rsidRPr="007F3F8E">
        <w:rPr>
          <w:sz w:val="24"/>
          <w:szCs w:val="24"/>
        </w:rPr>
        <w:t xml:space="preserve">t </w:t>
      </w:r>
      <w:r w:rsidRPr="007F3F8E">
        <w:rPr>
          <w:sz w:val="24"/>
          <w:szCs w:val="24"/>
        </w:rPr>
        <w:t xml:space="preserve">laboratory </w:t>
      </w:r>
      <w:r w:rsidR="00BF537E" w:rsidRPr="007F3F8E">
        <w:rPr>
          <w:sz w:val="24"/>
          <w:szCs w:val="24"/>
        </w:rPr>
        <w:t>PT</w:t>
      </w:r>
      <w:r w:rsidR="00000A21" w:rsidRPr="007F3F8E">
        <w:rPr>
          <w:sz w:val="24"/>
          <w:szCs w:val="24"/>
        </w:rPr>
        <w:t xml:space="preserve"> practices</w:t>
      </w:r>
      <w:r w:rsidRPr="007F3F8E">
        <w:rPr>
          <w:sz w:val="24"/>
          <w:szCs w:val="24"/>
        </w:rPr>
        <w:t xml:space="preserve"> across the ICLN.</w:t>
      </w:r>
      <w:r w:rsidR="00E90FDC" w:rsidRPr="007F3F8E">
        <w:rPr>
          <w:sz w:val="24"/>
          <w:szCs w:val="24"/>
        </w:rPr>
        <w:t xml:space="preserve"> </w:t>
      </w:r>
      <w:r w:rsidR="00610FD0" w:rsidRPr="007F3F8E">
        <w:rPr>
          <w:sz w:val="24"/>
          <w:szCs w:val="24"/>
        </w:rPr>
        <w:t xml:space="preserve"> </w:t>
      </w:r>
      <w:r w:rsidR="00E90FDC" w:rsidRPr="007F3F8E">
        <w:rPr>
          <w:sz w:val="24"/>
          <w:szCs w:val="24"/>
        </w:rPr>
        <w:t>If available</w:t>
      </w:r>
      <w:r w:rsidR="007B1A8E" w:rsidRPr="007F3F8E">
        <w:rPr>
          <w:sz w:val="24"/>
          <w:szCs w:val="24"/>
        </w:rPr>
        <w:t xml:space="preserve"> and consistent with</w:t>
      </w:r>
      <w:r w:rsidR="00000A21" w:rsidRPr="007F3F8E">
        <w:rPr>
          <w:sz w:val="24"/>
          <w:szCs w:val="24"/>
        </w:rPr>
        <w:t>in</w:t>
      </w:r>
      <w:r w:rsidR="007B1A8E" w:rsidRPr="007F3F8E">
        <w:rPr>
          <w:sz w:val="24"/>
          <w:szCs w:val="24"/>
        </w:rPr>
        <w:t xml:space="preserve"> the </w:t>
      </w:r>
      <w:r w:rsidR="00962598" w:rsidRPr="007F3F8E">
        <w:rPr>
          <w:sz w:val="24"/>
          <w:szCs w:val="24"/>
        </w:rPr>
        <w:t>constraints</w:t>
      </w:r>
      <w:r w:rsidR="007B1A8E" w:rsidRPr="007F3F8E">
        <w:rPr>
          <w:sz w:val="24"/>
          <w:szCs w:val="24"/>
        </w:rPr>
        <w:t xml:space="preserve"> of the </w:t>
      </w:r>
      <w:r w:rsidR="00000A21" w:rsidRPr="007F3F8E">
        <w:rPr>
          <w:sz w:val="24"/>
          <w:szCs w:val="24"/>
        </w:rPr>
        <w:t xml:space="preserve">Federal agency/NPO </w:t>
      </w:r>
      <w:r w:rsidR="007B1A8E" w:rsidRPr="007F3F8E">
        <w:rPr>
          <w:sz w:val="24"/>
          <w:szCs w:val="24"/>
        </w:rPr>
        <w:t>PT program,</w:t>
      </w:r>
      <w:r w:rsidR="00E90FDC" w:rsidRPr="007F3F8E">
        <w:rPr>
          <w:sz w:val="24"/>
          <w:szCs w:val="24"/>
        </w:rPr>
        <w:t xml:space="preserve"> </w:t>
      </w:r>
      <w:r w:rsidR="007B1A8E" w:rsidRPr="007F3F8E">
        <w:rPr>
          <w:sz w:val="24"/>
          <w:szCs w:val="24"/>
        </w:rPr>
        <w:t>the</w:t>
      </w:r>
      <w:r w:rsidR="00E90FDC" w:rsidRPr="007F3F8E">
        <w:rPr>
          <w:sz w:val="24"/>
          <w:szCs w:val="24"/>
        </w:rPr>
        <w:t xml:space="preserve"> </w:t>
      </w:r>
      <w:r w:rsidR="00547C16" w:rsidRPr="007F3F8E">
        <w:rPr>
          <w:sz w:val="24"/>
          <w:szCs w:val="24"/>
        </w:rPr>
        <w:t xml:space="preserve">NPO should </w:t>
      </w:r>
      <w:r w:rsidR="00E90FDC" w:rsidRPr="007F3F8E">
        <w:rPr>
          <w:sz w:val="24"/>
          <w:szCs w:val="24"/>
        </w:rPr>
        <w:t>use a</w:t>
      </w:r>
      <w:r w:rsidR="00000A21" w:rsidRPr="007F3F8E">
        <w:rPr>
          <w:sz w:val="24"/>
          <w:szCs w:val="24"/>
        </w:rPr>
        <w:t xml:space="preserve"> PT provider accredited to </w:t>
      </w:r>
      <w:r w:rsidR="00E90FDC" w:rsidRPr="007F3F8E">
        <w:rPr>
          <w:sz w:val="24"/>
          <w:szCs w:val="24"/>
        </w:rPr>
        <w:t xml:space="preserve">ISO 17043 </w:t>
      </w:r>
      <w:r w:rsidR="00BF537E" w:rsidRPr="007F3F8E">
        <w:rPr>
          <w:sz w:val="24"/>
          <w:szCs w:val="24"/>
        </w:rPr>
        <w:t>or Center for Medicaid and Medicare Services (CMS)</w:t>
      </w:r>
      <w:r w:rsidR="00E3703B" w:rsidRPr="007F3F8E">
        <w:rPr>
          <w:sz w:val="24"/>
          <w:szCs w:val="24"/>
        </w:rPr>
        <w:t xml:space="preserve"> [Clinical Laboratory Improvement Amendments</w:t>
      </w:r>
      <w:r w:rsidR="00BF537E" w:rsidRPr="007F3F8E">
        <w:rPr>
          <w:sz w:val="24"/>
          <w:szCs w:val="24"/>
        </w:rPr>
        <w:t xml:space="preserve"> </w:t>
      </w:r>
      <w:r w:rsidR="00E3703B" w:rsidRPr="007F3F8E">
        <w:rPr>
          <w:sz w:val="24"/>
          <w:szCs w:val="24"/>
        </w:rPr>
        <w:t>(</w:t>
      </w:r>
      <w:r w:rsidR="00A00883" w:rsidRPr="007F3F8E">
        <w:rPr>
          <w:sz w:val="24"/>
          <w:szCs w:val="24"/>
        </w:rPr>
        <w:t>CLIA</w:t>
      </w:r>
      <w:r w:rsidR="00E3703B" w:rsidRPr="007F3F8E">
        <w:rPr>
          <w:sz w:val="24"/>
          <w:szCs w:val="24"/>
        </w:rPr>
        <w:t>)</w:t>
      </w:r>
      <w:r w:rsidR="00A00883" w:rsidRPr="007F3F8E">
        <w:rPr>
          <w:sz w:val="24"/>
          <w:szCs w:val="24"/>
        </w:rPr>
        <w:t>]</w:t>
      </w:r>
      <w:r w:rsidR="00CA3FA6" w:rsidRPr="007F3F8E">
        <w:rPr>
          <w:sz w:val="24"/>
          <w:szCs w:val="24"/>
        </w:rPr>
        <w:t xml:space="preserve"> </w:t>
      </w:r>
      <w:r w:rsidR="001B526F" w:rsidRPr="007F3F8E">
        <w:rPr>
          <w:sz w:val="24"/>
          <w:szCs w:val="24"/>
        </w:rPr>
        <w:t xml:space="preserve">as applicable.  Per CMS, “The Clinical Laboratory Improvement Amendments (CLIA) program regulates laboratories that test human specimens and ensures they give accurate, reliable, and timely patient test results regardless of where the test is performed.”  All NPOs will need to use CLIA certified (or similarly certified, such as DoD’s Clinical Laboratory Improvement Program [CLIP], which is DoD’s CLIA-equivalent regulatory framework) </w:t>
      </w:r>
      <w:r w:rsidR="002270E1" w:rsidRPr="007F3F8E">
        <w:rPr>
          <w:sz w:val="24"/>
          <w:szCs w:val="24"/>
        </w:rPr>
        <w:t xml:space="preserve">procedures </w:t>
      </w:r>
      <w:r w:rsidR="001B526F" w:rsidRPr="007F3F8E">
        <w:rPr>
          <w:sz w:val="24"/>
          <w:szCs w:val="24"/>
        </w:rPr>
        <w:t xml:space="preserve">if analyzing human clinical samples.  A more complete set of links to relevant </w:t>
      </w:r>
      <w:r w:rsidR="00DF5EDA" w:rsidRPr="007F3F8E">
        <w:rPr>
          <w:sz w:val="24"/>
          <w:szCs w:val="24"/>
        </w:rPr>
        <w:t xml:space="preserve">proficiency testing </w:t>
      </w:r>
      <w:r w:rsidR="001B526F" w:rsidRPr="007F3F8E">
        <w:rPr>
          <w:sz w:val="24"/>
          <w:szCs w:val="24"/>
        </w:rPr>
        <w:t>guidance documents are available in Section 6 of this document.</w:t>
      </w:r>
    </w:p>
    <w:p w14:paraId="55BA031E" w14:textId="1DC23BA5" w:rsidR="00D85D1A" w:rsidRDefault="00D85D1A" w:rsidP="00A23CC4">
      <w:pPr>
        <w:spacing w:after="180"/>
      </w:pPr>
    </w:p>
    <w:p w14:paraId="3F76FC30" w14:textId="77777777" w:rsidR="00F465D8" w:rsidRDefault="00F465D8" w:rsidP="00A23CC4">
      <w:pPr>
        <w:spacing w:after="180"/>
      </w:pPr>
    </w:p>
    <w:p w14:paraId="5C167F05" w14:textId="0E141A2D" w:rsidR="00D85D1A" w:rsidRPr="005A75DA" w:rsidRDefault="00566E11">
      <w:pPr>
        <w:pStyle w:val="ListParagraph"/>
        <w:numPr>
          <w:ilvl w:val="0"/>
          <w:numId w:val="1"/>
        </w:numPr>
        <w:tabs>
          <w:tab w:val="left" w:pos="880"/>
        </w:tabs>
        <w:rPr>
          <w:b/>
          <w:bCs/>
          <w:sz w:val="24"/>
        </w:rPr>
      </w:pPr>
      <w:bookmarkStart w:id="3" w:name="_Hlk73539605"/>
      <w:r w:rsidRPr="005A75DA">
        <w:rPr>
          <w:b/>
          <w:bCs/>
          <w:sz w:val="24"/>
        </w:rPr>
        <w:lastRenderedPageBreak/>
        <w:t xml:space="preserve">Policies Regarding </w:t>
      </w:r>
      <w:r w:rsidR="00AB1481" w:rsidRPr="005A75DA">
        <w:rPr>
          <w:b/>
          <w:bCs/>
          <w:sz w:val="24"/>
        </w:rPr>
        <w:t>Participation</w:t>
      </w:r>
      <w:r w:rsidRPr="005A75DA">
        <w:rPr>
          <w:b/>
          <w:bCs/>
          <w:sz w:val="24"/>
        </w:rPr>
        <w:t xml:space="preserve"> in PTs</w:t>
      </w:r>
    </w:p>
    <w:bookmarkEnd w:id="3"/>
    <w:p w14:paraId="73EF7B0F" w14:textId="6F871E79" w:rsidR="00731BCF" w:rsidRDefault="00566E11">
      <w:pPr>
        <w:pStyle w:val="ListParagraph"/>
        <w:numPr>
          <w:ilvl w:val="1"/>
          <w:numId w:val="1"/>
        </w:numPr>
        <w:tabs>
          <w:tab w:val="left" w:pos="1600"/>
        </w:tabs>
        <w:ind w:right="432"/>
        <w:rPr>
          <w:sz w:val="24"/>
        </w:rPr>
      </w:pPr>
      <w:r>
        <w:rPr>
          <w:sz w:val="24"/>
        </w:rPr>
        <w:t xml:space="preserve">As part of its </w:t>
      </w:r>
      <w:r w:rsidR="00EE026A">
        <w:rPr>
          <w:sz w:val="24"/>
        </w:rPr>
        <w:t>agreement</w:t>
      </w:r>
      <w:r>
        <w:rPr>
          <w:sz w:val="24"/>
        </w:rPr>
        <w:t xml:space="preserve"> with laboratories </w:t>
      </w:r>
      <w:r w:rsidR="000833C1">
        <w:rPr>
          <w:sz w:val="24"/>
        </w:rPr>
        <w:t xml:space="preserve">regarding membership in the laboratory network, the NPO </w:t>
      </w:r>
      <w:r w:rsidR="000833C1" w:rsidRPr="00CC4E20">
        <w:rPr>
          <w:sz w:val="24"/>
        </w:rPr>
        <w:t>should</w:t>
      </w:r>
      <w:r w:rsidR="000833C1">
        <w:rPr>
          <w:sz w:val="24"/>
        </w:rPr>
        <w:t xml:space="preserve"> d</w:t>
      </w:r>
      <w:r w:rsidR="00AB1481">
        <w:rPr>
          <w:sz w:val="24"/>
        </w:rPr>
        <w:t>efine</w:t>
      </w:r>
      <w:r w:rsidR="000833C1">
        <w:rPr>
          <w:sz w:val="24"/>
        </w:rPr>
        <w:t xml:space="preserve"> </w:t>
      </w:r>
      <w:r w:rsidR="00AB1481">
        <w:rPr>
          <w:sz w:val="24"/>
        </w:rPr>
        <w:t xml:space="preserve">requirements </w:t>
      </w:r>
      <w:r w:rsidR="000833C1">
        <w:rPr>
          <w:sz w:val="24"/>
        </w:rPr>
        <w:t xml:space="preserve">for participation in PTs to include, for example, </w:t>
      </w:r>
      <w:r w:rsidR="00000A21">
        <w:rPr>
          <w:sz w:val="24"/>
        </w:rPr>
        <w:t xml:space="preserve">the </w:t>
      </w:r>
      <w:r w:rsidR="000833C1">
        <w:rPr>
          <w:sz w:val="24"/>
        </w:rPr>
        <w:t>anticipated number of PTs annually, qualifications of staff provid</w:t>
      </w:r>
      <w:r w:rsidR="00731BCF">
        <w:rPr>
          <w:sz w:val="24"/>
        </w:rPr>
        <w:t>ing</w:t>
      </w:r>
      <w:r w:rsidR="000833C1">
        <w:rPr>
          <w:sz w:val="24"/>
        </w:rPr>
        <w:t xml:space="preserve"> services to the NPO, and minimum number of PTs </w:t>
      </w:r>
      <w:r w:rsidR="00731BCF">
        <w:rPr>
          <w:sz w:val="24"/>
        </w:rPr>
        <w:t xml:space="preserve">per </w:t>
      </w:r>
      <w:r w:rsidR="000833C1">
        <w:rPr>
          <w:sz w:val="24"/>
        </w:rPr>
        <w:t xml:space="preserve">staff </w:t>
      </w:r>
      <w:r w:rsidR="00731BCF">
        <w:rPr>
          <w:sz w:val="24"/>
        </w:rPr>
        <w:t>member</w:t>
      </w:r>
      <w:r w:rsidR="000833C1">
        <w:rPr>
          <w:sz w:val="24"/>
        </w:rPr>
        <w:t xml:space="preserve">.  Requirements </w:t>
      </w:r>
      <w:r w:rsidR="000833C1" w:rsidRPr="00CC4E20">
        <w:rPr>
          <w:sz w:val="24"/>
        </w:rPr>
        <w:t>should</w:t>
      </w:r>
      <w:r w:rsidR="000833C1">
        <w:rPr>
          <w:sz w:val="24"/>
        </w:rPr>
        <w:t xml:space="preserve"> be reviewed annually to ensure NPO quality assurance objectives</w:t>
      </w:r>
      <w:r w:rsidR="00731BCF">
        <w:rPr>
          <w:sz w:val="24"/>
        </w:rPr>
        <w:t xml:space="preserve"> are met</w:t>
      </w:r>
      <w:r w:rsidR="000833C1">
        <w:rPr>
          <w:sz w:val="24"/>
        </w:rPr>
        <w:t>.</w:t>
      </w:r>
      <w:r w:rsidR="00077805">
        <w:rPr>
          <w:sz w:val="24"/>
        </w:rPr>
        <w:t xml:space="preserve">  </w:t>
      </w:r>
    </w:p>
    <w:p w14:paraId="6613DCF3" w14:textId="2924C204" w:rsidR="00D85D1A" w:rsidRDefault="00731BCF">
      <w:pPr>
        <w:pStyle w:val="ListParagraph"/>
        <w:numPr>
          <w:ilvl w:val="1"/>
          <w:numId w:val="1"/>
        </w:numPr>
        <w:tabs>
          <w:tab w:val="left" w:pos="1600"/>
        </w:tabs>
        <w:ind w:right="432"/>
        <w:rPr>
          <w:sz w:val="24"/>
        </w:rPr>
      </w:pPr>
      <w:r>
        <w:rPr>
          <w:sz w:val="24"/>
        </w:rPr>
        <w:t>The NPO p</w:t>
      </w:r>
      <w:r w:rsidR="00077805">
        <w:rPr>
          <w:sz w:val="24"/>
        </w:rPr>
        <w:t xml:space="preserve">olicy should incorporate for all </w:t>
      </w:r>
      <w:r w:rsidR="001A4677">
        <w:rPr>
          <w:sz w:val="24"/>
        </w:rPr>
        <w:t>parties</w:t>
      </w:r>
      <w:r w:rsidR="00077805">
        <w:rPr>
          <w:sz w:val="24"/>
        </w:rPr>
        <w:t xml:space="preserve"> an understanding of the implication of failure to meet the assessment criteria for a </w:t>
      </w:r>
      <w:r w:rsidR="00EE026A">
        <w:rPr>
          <w:sz w:val="24"/>
        </w:rPr>
        <w:t xml:space="preserve">given </w:t>
      </w:r>
      <w:r w:rsidR="00077805">
        <w:rPr>
          <w:sz w:val="24"/>
        </w:rPr>
        <w:t>PT</w:t>
      </w:r>
      <w:r w:rsidR="001A4677">
        <w:rPr>
          <w:sz w:val="24"/>
        </w:rPr>
        <w:t>.</w:t>
      </w:r>
      <w:r w:rsidRPr="00731BCF">
        <w:rPr>
          <w:sz w:val="24"/>
        </w:rPr>
        <w:t xml:space="preserve"> </w:t>
      </w:r>
      <w:r>
        <w:rPr>
          <w:sz w:val="24"/>
        </w:rPr>
        <w:t xml:space="preserve">The policy also </w:t>
      </w:r>
      <w:r w:rsidR="00080938">
        <w:rPr>
          <w:sz w:val="24"/>
        </w:rPr>
        <w:t xml:space="preserve">should </w:t>
      </w:r>
      <w:r>
        <w:rPr>
          <w:sz w:val="24"/>
        </w:rPr>
        <w:t>express the process for remediation of failed assessments.</w:t>
      </w:r>
    </w:p>
    <w:p w14:paraId="231032F7" w14:textId="09920D9C" w:rsidR="00D85D1A" w:rsidRDefault="00D85D1A">
      <w:pPr>
        <w:pStyle w:val="BodyText"/>
        <w:ind w:left="0" w:firstLine="0"/>
      </w:pPr>
    </w:p>
    <w:p w14:paraId="4320D95C" w14:textId="77777777" w:rsidR="00E52AFE" w:rsidRDefault="00E52AFE">
      <w:pPr>
        <w:pStyle w:val="BodyText"/>
        <w:ind w:left="0" w:firstLine="0"/>
      </w:pPr>
    </w:p>
    <w:p w14:paraId="3F7FFBA8" w14:textId="289B0FD3" w:rsidR="00D85D1A" w:rsidRPr="005A75DA" w:rsidRDefault="003D0D49">
      <w:pPr>
        <w:pStyle w:val="ListParagraph"/>
        <w:numPr>
          <w:ilvl w:val="0"/>
          <w:numId w:val="1"/>
        </w:numPr>
        <w:tabs>
          <w:tab w:val="left" w:pos="880"/>
        </w:tabs>
        <w:rPr>
          <w:b/>
          <w:bCs/>
          <w:sz w:val="24"/>
        </w:rPr>
      </w:pPr>
      <w:r w:rsidRPr="005A75DA">
        <w:rPr>
          <w:b/>
          <w:bCs/>
          <w:sz w:val="24"/>
        </w:rPr>
        <w:t xml:space="preserve">NPO </w:t>
      </w:r>
      <w:r w:rsidR="00E10B88" w:rsidRPr="005A75DA">
        <w:rPr>
          <w:b/>
          <w:bCs/>
          <w:sz w:val="24"/>
        </w:rPr>
        <w:t>Administration</w:t>
      </w:r>
      <w:r w:rsidRPr="005A75DA">
        <w:rPr>
          <w:b/>
          <w:bCs/>
          <w:sz w:val="24"/>
        </w:rPr>
        <w:t xml:space="preserve"> of PTs</w:t>
      </w:r>
    </w:p>
    <w:p w14:paraId="6DB55B7D" w14:textId="0233E461" w:rsidR="003D0D49" w:rsidRPr="00A23CC4" w:rsidRDefault="003D0D49" w:rsidP="009C1EAC">
      <w:pPr>
        <w:tabs>
          <w:tab w:val="left" w:pos="1600"/>
        </w:tabs>
        <w:ind w:right="308"/>
        <w:rPr>
          <w:sz w:val="24"/>
        </w:rPr>
      </w:pPr>
      <w:r>
        <w:rPr>
          <w:sz w:val="24"/>
        </w:rPr>
        <w:t xml:space="preserve">In its role </w:t>
      </w:r>
      <w:r w:rsidR="00731B6D">
        <w:rPr>
          <w:sz w:val="24"/>
        </w:rPr>
        <w:t xml:space="preserve">as </w:t>
      </w:r>
      <w:r>
        <w:rPr>
          <w:sz w:val="24"/>
        </w:rPr>
        <w:t>administrator of PTs, the NPO should</w:t>
      </w:r>
      <w:r w:rsidR="006157DA">
        <w:rPr>
          <w:sz w:val="24"/>
        </w:rPr>
        <w:t>:</w:t>
      </w:r>
    </w:p>
    <w:p w14:paraId="2BE63246" w14:textId="7074CC65" w:rsidR="00D85D1A" w:rsidRDefault="003D0D49">
      <w:pPr>
        <w:pStyle w:val="ListParagraph"/>
        <w:numPr>
          <w:ilvl w:val="1"/>
          <w:numId w:val="1"/>
        </w:numPr>
        <w:tabs>
          <w:tab w:val="left" w:pos="1600"/>
        </w:tabs>
        <w:ind w:right="308"/>
        <w:jc w:val="both"/>
        <w:rPr>
          <w:sz w:val="24"/>
        </w:rPr>
      </w:pPr>
      <w:r>
        <w:rPr>
          <w:sz w:val="24"/>
        </w:rPr>
        <w:t>E</w:t>
      </w:r>
      <w:r w:rsidR="00AB1481">
        <w:rPr>
          <w:sz w:val="24"/>
        </w:rPr>
        <w:t>stablish and document policies, systems, programs, procedures</w:t>
      </w:r>
      <w:r w:rsidR="009C7476">
        <w:rPr>
          <w:sz w:val="24"/>
        </w:rPr>
        <w:t>,</w:t>
      </w:r>
      <w:r w:rsidR="00AB1481">
        <w:rPr>
          <w:sz w:val="24"/>
        </w:rPr>
        <w:t xml:space="preserve"> and instructions to the extent necessary to assure the quality of the PT program services provided to</w:t>
      </w:r>
      <w:r w:rsidR="00AB1481">
        <w:rPr>
          <w:spacing w:val="-4"/>
          <w:sz w:val="24"/>
        </w:rPr>
        <w:t xml:space="preserve"> </w:t>
      </w:r>
      <w:r>
        <w:rPr>
          <w:sz w:val="24"/>
        </w:rPr>
        <w:t>its network</w:t>
      </w:r>
      <w:r w:rsidR="00AB1481">
        <w:rPr>
          <w:sz w:val="24"/>
        </w:rPr>
        <w:t>.</w:t>
      </w:r>
    </w:p>
    <w:p w14:paraId="392383E4" w14:textId="02EB44F1" w:rsidR="00D85D1A" w:rsidRDefault="00AB1481">
      <w:pPr>
        <w:pStyle w:val="ListParagraph"/>
        <w:numPr>
          <w:ilvl w:val="1"/>
          <w:numId w:val="1"/>
        </w:numPr>
        <w:tabs>
          <w:tab w:val="left" w:pos="1600"/>
        </w:tabs>
        <w:ind w:right="981"/>
        <w:rPr>
          <w:sz w:val="24"/>
        </w:rPr>
      </w:pPr>
      <w:r>
        <w:rPr>
          <w:sz w:val="24"/>
        </w:rPr>
        <w:t xml:space="preserve">Ensure that </w:t>
      </w:r>
      <w:r w:rsidR="009C7476">
        <w:rPr>
          <w:sz w:val="24"/>
        </w:rPr>
        <w:t xml:space="preserve">PT program </w:t>
      </w:r>
      <w:r>
        <w:rPr>
          <w:sz w:val="24"/>
        </w:rPr>
        <w:t xml:space="preserve">information is communicated to </w:t>
      </w:r>
      <w:r w:rsidR="00EE026A">
        <w:rPr>
          <w:sz w:val="24"/>
        </w:rPr>
        <w:t xml:space="preserve">and </w:t>
      </w:r>
      <w:r>
        <w:rPr>
          <w:sz w:val="24"/>
        </w:rPr>
        <w:t>understood by</w:t>
      </w:r>
      <w:r>
        <w:rPr>
          <w:spacing w:val="-20"/>
          <w:sz w:val="24"/>
        </w:rPr>
        <w:t xml:space="preserve"> </w:t>
      </w:r>
      <w:r>
        <w:rPr>
          <w:sz w:val="24"/>
        </w:rPr>
        <w:t>all member laboratories.</w:t>
      </w:r>
    </w:p>
    <w:p w14:paraId="57CEC759" w14:textId="697765FA" w:rsidR="005656F5" w:rsidRDefault="00AB1481" w:rsidP="009C41F7">
      <w:pPr>
        <w:pStyle w:val="ListParagraph"/>
        <w:numPr>
          <w:ilvl w:val="1"/>
          <w:numId w:val="1"/>
        </w:numPr>
        <w:tabs>
          <w:tab w:val="left" w:pos="1600"/>
        </w:tabs>
        <w:ind w:right="402"/>
        <w:rPr>
          <w:sz w:val="24"/>
        </w:rPr>
      </w:pPr>
      <w:r>
        <w:rPr>
          <w:sz w:val="24"/>
        </w:rPr>
        <w:t>At the start of a new calendar/fiscal year</w:t>
      </w:r>
      <w:r w:rsidR="00E8105D">
        <w:rPr>
          <w:sz w:val="24"/>
        </w:rPr>
        <w:t>,</w:t>
      </w:r>
      <w:r>
        <w:rPr>
          <w:sz w:val="24"/>
        </w:rPr>
        <w:t xml:space="preserve"> determine the PT schedule for the following year and share with participants and </w:t>
      </w:r>
      <w:r w:rsidR="009C7476">
        <w:rPr>
          <w:sz w:val="24"/>
        </w:rPr>
        <w:t>the</w:t>
      </w:r>
      <w:r>
        <w:rPr>
          <w:sz w:val="24"/>
        </w:rPr>
        <w:t xml:space="preserve"> ICLN</w:t>
      </w:r>
      <w:r w:rsidR="00592B81">
        <w:rPr>
          <w:sz w:val="24"/>
        </w:rPr>
        <w:t>, as appropriate</w:t>
      </w:r>
      <w:r>
        <w:rPr>
          <w:sz w:val="24"/>
        </w:rPr>
        <w:t>.</w:t>
      </w:r>
    </w:p>
    <w:p w14:paraId="70715D2D" w14:textId="7E4E2D0F" w:rsidR="00A17B32" w:rsidRPr="00A23CC4" w:rsidRDefault="00A17B32" w:rsidP="00A17B32">
      <w:pPr>
        <w:pStyle w:val="ListParagraph"/>
        <w:numPr>
          <w:ilvl w:val="1"/>
          <w:numId w:val="1"/>
        </w:numPr>
        <w:tabs>
          <w:tab w:val="left" w:pos="1600"/>
        </w:tabs>
        <w:ind w:right="981"/>
        <w:rPr>
          <w:sz w:val="24"/>
        </w:rPr>
      </w:pPr>
      <w:r>
        <w:rPr>
          <w:sz w:val="24"/>
        </w:rPr>
        <w:t xml:space="preserve">Identify and establish </w:t>
      </w:r>
      <w:r w:rsidR="00547C16">
        <w:rPr>
          <w:sz w:val="24"/>
        </w:rPr>
        <w:t xml:space="preserve">an </w:t>
      </w:r>
      <w:r>
        <w:rPr>
          <w:sz w:val="24"/>
        </w:rPr>
        <w:t xml:space="preserve">agreement with </w:t>
      </w:r>
      <w:r w:rsidR="00547C16">
        <w:rPr>
          <w:sz w:val="24"/>
        </w:rPr>
        <w:t xml:space="preserve">an </w:t>
      </w:r>
      <w:r>
        <w:rPr>
          <w:sz w:val="24"/>
        </w:rPr>
        <w:t xml:space="preserve">appropriately accredited or qualified provider(s) of samples for </w:t>
      </w:r>
      <w:proofErr w:type="spellStart"/>
      <w:r>
        <w:rPr>
          <w:sz w:val="24"/>
        </w:rPr>
        <w:t>PTs</w:t>
      </w:r>
      <w:r w:rsidR="00C556F5">
        <w:rPr>
          <w:sz w:val="24"/>
        </w:rPr>
        <w:t>.</w:t>
      </w:r>
      <w:proofErr w:type="spellEnd"/>
      <w:r>
        <w:rPr>
          <w:sz w:val="24"/>
        </w:rPr>
        <w:t xml:space="preserve"> </w:t>
      </w:r>
    </w:p>
    <w:p w14:paraId="09C47B9C" w14:textId="58BDF1A0" w:rsidR="00F465D8" w:rsidRPr="006B7FD3" w:rsidRDefault="00547C16" w:rsidP="006B7FD3">
      <w:pPr>
        <w:pStyle w:val="ListParagraph"/>
        <w:numPr>
          <w:ilvl w:val="1"/>
          <w:numId w:val="1"/>
        </w:numPr>
        <w:tabs>
          <w:tab w:val="left" w:pos="1600"/>
        </w:tabs>
        <w:ind w:right="185"/>
        <w:rPr>
          <w:sz w:val="24"/>
        </w:rPr>
      </w:pPr>
      <w:r>
        <w:rPr>
          <w:sz w:val="24"/>
        </w:rPr>
        <w:t>D</w:t>
      </w:r>
      <w:r w:rsidR="00A17B32">
        <w:rPr>
          <w:sz w:val="24"/>
        </w:rPr>
        <w:t xml:space="preserve">ocument procedures utilized </w:t>
      </w:r>
      <w:r w:rsidR="00D42230">
        <w:rPr>
          <w:sz w:val="24"/>
        </w:rPr>
        <w:t>for production of samples</w:t>
      </w:r>
      <w:r w:rsidR="00A17B32">
        <w:rPr>
          <w:sz w:val="24"/>
        </w:rPr>
        <w:t xml:space="preserve"> and retain for future PTs as well as for process</w:t>
      </w:r>
      <w:r w:rsidR="00A17B32">
        <w:rPr>
          <w:spacing w:val="-10"/>
          <w:sz w:val="24"/>
        </w:rPr>
        <w:t xml:space="preserve"> </w:t>
      </w:r>
      <w:r w:rsidR="00A17B32">
        <w:rPr>
          <w:sz w:val="24"/>
        </w:rPr>
        <w:t>improvement</w:t>
      </w:r>
      <w:r>
        <w:rPr>
          <w:sz w:val="24"/>
        </w:rPr>
        <w:t>,</w:t>
      </w:r>
      <w:r w:rsidRPr="00547C16">
        <w:rPr>
          <w:sz w:val="24"/>
        </w:rPr>
        <w:t xml:space="preserve"> </w:t>
      </w:r>
      <w:r>
        <w:rPr>
          <w:sz w:val="24"/>
        </w:rPr>
        <w:t>whether PT samples are prepared internally within a network or supplied by an outside commercial sample provider</w:t>
      </w:r>
      <w:r w:rsidR="00A17B32">
        <w:rPr>
          <w:sz w:val="24"/>
        </w:rPr>
        <w:t>.</w:t>
      </w:r>
    </w:p>
    <w:p w14:paraId="6A74A6B3" w14:textId="097057D2" w:rsidR="007E3772" w:rsidRPr="00F465D8" w:rsidRDefault="007E3772" w:rsidP="00F465D8">
      <w:pPr>
        <w:pStyle w:val="ListParagraph"/>
        <w:numPr>
          <w:ilvl w:val="1"/>
          <w:numId w:val="1"/>
        </w:numPr>
        <w:tabs>
          <w:tab w:val="left" w:pos="1600"/>
        </w:tabs>
        <w:ind w:right="185"/>
        <w:rPr>
          <w:sz w:val="24"/>
        </w:rPr>
      </w:pPr>
      <w:r w:rsidRPr="00F465D8">
        <w:rPr>
          <w:sz w:val="24"/>
        </w:rPr>
        <w:t xml:space="preserve">For each PT event, determine </w:t>
      </w:r>
      <w:r w:rsidR="009C7476" w:rsidRPr="00F465D8">
        <w:rPr>
          <w:sz w:val="24"/>
        </w:rPr>
        <w:t xml:space="preserve">PT assessment </w:t>
      </w:r>
      <w:r w:rsidRPr="00F465D8">
        <w:rPr>
          <w:sz w:val="24"/>
        </w:rPr>
        <w:t>objective</w:t>
      </w:r>
      <w:r w:rsidR="009C7476" w:rsidRPr="00F465D8">
        <w:rPr>
          <w:sz w:val="24"/>
        </w:rPr>
        <w:t>s</w:t>
      </w:r>
      <w:r w:rsidR="00731B6D" w:rsidRPr="00F465D8">
        <w:rPr>
          <w:sz w:val="24"/>
        </w:rPr>
        <w:t xml:space="preserve">, </w:t>
      </w:r>
      <w:r w:rsidRPr="00F465D8">
        <w:rPr>
          <w:sz w:val="24"/>
        </w:rPr>
        <w:t xml:space="preserve">create </w:t>
      </w:r>
      <w:r w:rsidR="009C7476" w:rsidRPr="00F465D8">
        <w:rPr>
          <w:sz w:val="24"/>
        </w:rPr>
        <w:t xml:space="preserve">a </w:t>
      </w:r>
      <w:r w:rsidRPr="00F465D8">
        <w:rPr>
          <w:sz w:val="24"/>
        </w:rPr>
        <w:t>project plan</w:t>
      </w:r>
      <w:r w:rsidR="00731B6D" w:rsidRPr="00F465D8">
        <w:rPr>
          <w:sz w:val="24"/>
        </w:rPr>
        <w:t xml:space="preserve">, and develop or revise evaluative criteria along with other instructions for participants in preparation for </w:t>
      </w:r>
      <w:r w:rsidR="00EE026A" w:rsidRPr="00F465D8">
        <w:rPr>
          <w:sz w:val="24"/>
        </w:rPr>
        <w:t xml:space="preserve">the </w:t>
      </w:r>
      <w:r w:rsidR="00731B6D" w:rsidRPr="00F465D8">
        <w:rPr>
          <w:sz w:val="24"/>
        </w:rPr>
        <w:t>PT test</w:t>
      </w:r>
      <w:r w:rsidR="00004FA9" w:rsidRPr="00F465D8">
        <w:rPr>
          <w:sz w:val="24"/>
        </w:rPr>
        <w:t xml:space="preserve">.  Document pass/fail or other evaluative criteria in </w:t>
      </w:r>
      <w:r w:rsidR="00547C16" w:rsidRPr="00F465D8">
        <w:rPr>
          <w:sz w:val="24"/>
        </w:rPr>
        <w:t xml:space="preserve">a </w:t>
      </w:r>
      <w:r w:rsidR="00004FA9" w:rsidRPr="00F465D8">
        <w:rPr>
          <w:sz w:val="24"/>
        </w:rPr>
        <w:t>project plan.  Communicate evaluative criteria to PT participants along with other instruction</w:t>
      </w:r>
      <w:r w:rsidR="00035F38" w:rsidRPr="00F465D8">
        <w:rPr>
          <w:sz w:val="24"/>
        </w:rPr>
        <w:t>s</w:t>
      </w:r>
      <w:r w:rsidR="00004FA9" w:rsidRPr="00F465D8">
        <w:rPr>
          <w:sz w:val="24"/>
        </w:rPr>
        <w:t xml:space="preserve"> for </w:t>
      </w:r>
      <w:r w:rsidR="00035F38" w:rsidRPr="00F465D8">
        <w:rPr>
          <w:sz w:val="24"/>
        </w:rPr>
        <w:t xml:space="preserve">participants in preparation for </w:t>
      </w:r>
      <w:r w:rsidR="00547C16" w:rsidRPr="00F465D8">
        <w:rPr>
          <w:sz w:val="24"/>
        </w:rPr>
        <w:t xml:space="preserve">a </w:t>
      </w:r>
      <w:r w:rsidR="00004FA9" w:rsidRPr="00F465D8">
        <w:rPr>
          <w:sz w:val="24"/>
        </w:rPr>
        <w:t>PT test.</w:t>
      </w:r>
      <w:r w:rsidR="008660DD" w:rsidRPr="00F465D8">
        <w:rPr>
          <w:sz w:val="24"/>
        </w:rPr>
        <w:t xml:space="preserve">  </w:t>
      </w:r>
      <w:r w:rsidR="004B6C5C" w:rsidRPr="00F465D8">
        <w:rPr>
          <w:sz w:val="24"/>
        </w:rPr>
        <w:t>Some or all of these elements may be covered by one or more policy, S</w:t>
      </w:r>
      <w:r w:rsidR="008B0DE9" w:rsidRPr="00F465D8">
        <w:rPr>
          <w:sz w:val="24"/>
        </w:rPr>
        <w:t xml:space="preserve">tandard </w:t>
      </w:r>
      <w:r w:rsidR="004B6C5C" w:rsidRPr="00F465D8">
        <w:rPr>
          <w:sz w:val="24"/>
        </w:rPr>
        <w:t>O</w:t>
      </w:r>
      <w:r w:rsidR="008B0DE9" w:rsidRPr="00F465D8">
        <w:rPr>
          <w:sz w:val="24"/>
        </w:rPr>
        <w:t xml:space="preserve">perating </w:t>
      </w:r>
      <w:r w:rsidR="004B6C5C" w:rsidRPr="00F465D8">
        <w:rPr>
          <w:sz w:val="24"/>
        </w:rPr>
        <w:t>P</w:t>
      </w:r>
      <w:r w:rsidR="008B0DE9" w:rsidRPr="00F465D8">
        <w:rPr>
          <w:sz w:val="24"/>
        </w:rPr>
        <w:t>rocedure</w:t>
      </w:r>
      <w:r w:rsidR="001D40CD" w:rsidRPr="00F465D8">
        <w:rPr>
          <w:sz w:val="24"/>
        </w:rPr>
        <w:t>s</w:t>
      </w:r>
      <w:r w:rsidR="008B0DE9" w:rsidRPr="00F465D8">
        <w:rPr>
          <w:sz w:val="24"/>
        </w:rPr>
        <w:t>,</w:t>
      </w:r>
      <w:r w:rsidR="004B6C5C" w:rsidRPr="00F465D8">
        <w:rPr>
          <w:sz w:val="24"/>
        </w:rPr>
        <w:t xml:space="preserve"> and/or other agreed upon standard guidance documents.</w:t>
      </w:r>
    </w:p>
    <w:p w14:paraId="11C2856F" w14:textId="09EB763F" w:rsidR="00F465D8" w:rsidRDefault="00A909EF" w:rsidP="00A909EF">
      <w:pPr>
        <w:pStyle w:val="ListParagraph"/>
        <w:numPr>
          <w:ilvl w:val="1"/>
          <w:numId w:val="1"/>
        </w:numPr>
        <w:tabs>
          <w:tab w:val="left" w:pos="1600"/>
        </w:tabs>
        <w:ind w:right="679"/>
        <w:rPr>
          <w:sz w:val="24"/>
        </w:rPr>
      </w:pPr>
      <w:r>
        <w:rPr>
          <w:sz w:val="24"/>
        </w:rPr>
        <w:t xml:space="preserve">Ensure the participating laboratory has access to the </w:t>
      </w:r>
      <w:r w:rsidR="00731B6D">
        <w:rPr>
          <w:sz w:val="24"/>
        </w:rPr>
        <w:t>current PT</w:t>
      </w:r>
      <w:r>
        <w:rPr>
          <w:sz w:val="24"/>
        </w:rPr>
        <w:t xml:space="preserve"> process procedure </w:t>
      </w:r>
      <w:r w:rsidR="00731B6D">
        <w:rPr>
          <w:sz w:val="24"/>
        </w:rPr>
        <w:t>and/or</w:t>
      </w:r>
      <w:r>
        <w:rPr>
          <w:sz w:val="24"/>
        </w:rPr>
        <w:t xml:space="preserve"> testing method.</w:t>
      </w:r>
    </w:p>
    <w:p w14:paraId="3439738F" w14:textId="440AEC5D" w:rsidR="008660DD" w:rsidRPr="00F465D8" w:rsidRDefault="008660DD" w:rsidP="00F465D8">
      <w:pPr>
        <w:pStyle w:val="ListParagraph"/>
        <w:numPr>
          <w:ilvl w:val="1"/>
          <w:numId w:val="1"/>
        </w:numPr>
        <w:tabs>
          <w:tab w:val="left" w:pos="1600"/>
        </w:tabs>
        <w:ind w:right="679"/>
        <w:rPr>
          <w:sz w:val="24"/>
        </w:rPr>
      </w:pPr>
      <w:r w:rsidRPr="00F465D8">
        <w:rPr>
          <w:sz w:val="24"/>
        </w:rPr>
        <w:t xml:space="preserve">Develop </w:t>
      </w:r>
      <w:r w:rsidR="00731B6D" w:rsidRPr="00F465D8">
        <w:rPr>
          <w:sz w:val="24"/>
        </w:rPr>
        <w:t xml:space="preserve">a </w:t>
      </w:r>
      <w:r w:rsidRPr="00F465D8">
        <w:rPr>
          <w:sz w:val="24"/>
        </w:rPr>
        <w:t xml:space="preserve">final report </w:t>
      </w:r>
      <w:r w:rsidR="00913C1E" w:rsidRPr="00F465D8">
        <w:rPr>
          <w:sz w:val="24"/>
        </w:rPr>
        <w:t xml:space="preserve">for each PT event </w:t>
      </w:r>
      <w:r w:rsidRPr="00F465D8">
        <w:rPr>
          <w:sz w:val="24"/>
        </w:rPr>
        <w:t xml:space="preserve">and circulate </w:t>
      </w:r>
      <w:r w:rsidR="00547C16" w:rsidRPr="00F465D8">
        <w:rPr>
          <w:sz w:val="24"/>
        </w:rPr>
        <w:t xml:space="preserve">it </w:t>
      </w:r>
      <w:r w:rsidRPr="00F465D8">
        <w:rPr>
          <w:sz w:val="24"/>
        </w:rPr>
        <w:t>in accordance with its policy.</w:t>
      </w:r>
    </w:p>
    <w:p w14:paraId="6A854099" w14:textId="044436C6" w:rsidR="009B57AC" w:rsidRDefault="00D55B14" w:rsidP="009B57AC">
      <w:pPr>
        <w:pStyle w:val="ListParagraph"/>
        <w:numPr>
          <w:ilvl w:val="1"/>
          <w:numId w:val="1"/>
        </w:numPr>
        <w:tabs>
          <w:tab w:val="left" w:pos="1570"/>
        </w:tabs>
        <w:ind w:right="168"/>
        <w:rPr>
          <w:sz w:val="24"/>
        </w:rPr>
      </w:pPr>
      <w:r>
        <w:rPr>
          <w:sz w:val="24"/>
        </w:rPr>
        <w:t>Establish and utilize</w:t>
      </w:r>
      <w:r w:rsidR="009B57AC">
        <w:rPr>
          <w:sz w:val="24"/>
        </w:rPr>
        <w:t xml:space="preserve"> a mechanism to report results and evaluation of performance back to the</w:t>
      </w:r>
      <w:r w:rsidR="009B57AC">
        <w:rPr>
          <w:spacing w:val="-2"/>
          <w:sz w:val="24"/>
        </w:rPr>
        <w:t xml:space="preserve"> </w:t>
      </w:r>
      <w:r w:rsidR="009B57AC">
        <w:rPr>
          <w:sz w:val="24"/>
        </w:rPr>
        <w:t>laboratories.</w:t>
      </w:r>
    </w:p>
    <w:p w14:paraId="150C25FF" w14:textId="41C83ECF" w:rsidR="009B57AC" w:rsidRDefault="009B57AC" w:rsidP="009B57AC">
      <w:pPr>
        <w:pStyle w:val="ListParagraph"/>
        <w:numPr>
          <w:ilvl w:val="1"/>
          <w:numId w:val="1"/>
        </w:numPr>
        <w:tabs>
          <w:tab w:val="left" w:pos="1571"/>
        </w:tabs>
        <w:ind w:right="647"/>
        <w:rPr>
          <w:sz w:val="24"/>
        </w:rPr>
      </w:pPr>
      <w:r>
        <w:rPr>
          <w:sz w:val="24"/>
        </w:rPr>
        <w:t xml:space="preserve">Establish </w:t>
      </w:r>
      <w:r w:rsidR="00D55B14">
        <w:rPr>
          <w:sz w:val="24"/>
        </w:rPr>
        <w:t xml:space="preserve">and utilize </w:t>
      </w:r>
      <w:r>
        <w:rPr>
          <w:sz w:val="24"/>
        </w:rPr>
        <w:t>procedures to maintain the confidentiality of individual results while sharing overall results within and outside the</w:t>
      </w:r>
      <w:r>
        <w:rPr>
          <w:spacing w:val="-10"/>
          <w:sz w:val="24"/>
        </w:rPr>
        <w:t xml:space="preserve"> </w:t>
      </w:r>
      <w:r>
        <w:rPr>
          <w:sz w:val="24"/>
        </w:rPr>
        <w:t>network</w:t>
      </w:r>
    </w:p>
    <w:p w14:paraId="671CEE1A" w14:textId="77777777" w:rsidR="009B57AC" w:rsidRPr="00CC4E20" w:rsidRDefault="009B57AC" w:rsidP="00CC4E20">
      <w:pPr>
        <w:tabs>
          <w:tab w:val="left" w:pos="1600"/>
        </w:tabs>
        <w:ind w:left="1240" w:right="185"/>
        <w:rPr>
          <w:sz w:val="24"/>
        </w:rPr>
      </w:pPr>
    </w:p>
    <w:p w14:paraId="48407739" w14:textId="77777777" w:rsidR="00D85D1A" w:rsidRDefault="00D85D1A">
      <w:pPr>
        <w:pStyle w:val="BodyText"/>
        <w:ind w:left="0" w:firstLine="0"/>
      </w:pPr>
    </w:p>
    <w:p w14:paraId="6C2AA10B" w14:textId="77777777" w:rsidR="00D85D1A" w:rsidRPr="005A75DA" w:rsidRDefault="00AB1481">
      <w:pPr>
        <w:pStyle w:val="ListParagraph"/>
        <w:numPr>
          <w:ilvl w:val="0"/>
          <w:numId w:val="1"/>
        </w:numPr>
        <w:tabs>
          <w:tab w:val="left" w:pos="880"/>
        </w:tabs>
        <w:rPr>
          <w:b/>
          <w:bCs/>
          <w:sz w:val="24"/>
        </w:rPr>
      </w:pPr>
      <w:bookmarkStart w:id="4" w:name="_Hlk73539680"/>
      <w:r w:rsidRPr="005A75DA">
        <w:rPr>
          <w:b/>
          <w:bCs/>
          <w:sz w:val="24"/>
        </w:rPr>
        <w:t>Quality Control Measures for Sample</w:t>
      </w:r>
      <w:r w:rsidRPr="005A75DA">
        <w:rPr>
          <w:b/>
          <w:bCs/>
          <w:spacing w:val="-5"/>
          <w:sz w:val="24"/>
        </w:rPr>
        <w:t xml:space="preserve"> </w:t>
      </w:r>
      <w:r w:rsidRPr="005A75DA">
        <w:rPr>
          <w:b/>
          <w:bCs/>
          <w:sz w:val="24"/>
        </w:rPr>
        <w:t>Production</w:t>
      </w:r>
    </w:p>
    <w:bookmarkEnd w:id="4"/>
    <w:p w14:paraId="7DD917A1" w14:textId="19245D8D" w:rsidR="009C41F7" w:rsidRDefault="009C41F7" w:rsidP="005A75DA">
      <w:pPr>
        <w:tabs>
          <w:tab w:val="left" w:pos="1600"/>
        </w:tabs>
        <w:ind w:right="185"/>
        <w:rPr>
          <w:sz w:val="24"/>
        </w:rPr>
      </w:pPr>
      <w:r>
        <w:rPr>
          <w:sz w:val="24"/>
        </w:rPr>
        <w:t>In preparation for a PT, the NPO should:</w:t>
      </w:r>
    </w:p>
    <w:p w14:paraId="443D306E" w14:textId="1A5FA6A6" w:rsidR="009C7476" w:rsidRDefault="009C41F7">
      <w:pPr>
        <w:pStyle w:val="ListParagraph"/>
        <w:numPr>
          <w:ilvl w:val="1"/>
          <w:numId w:val="1"/>
        </w:numPr>
        <w:tabs>
          <w:tab w:val="left" w:pos="1600"/>
        </w:tabs>
        <w:ind w:right="185"/>
        <w:rPr>
          <w:sz w:val="24"/>
        </w:rPr>
      </w:pPr>
      <w:r>
        <w:rPr>
          <w:sz w:val="24"/>
        </w:rPr>
        <w:t xml:space="preserve">Determine specific types of analytes to be </w:t>
      </w:r>
      <w:r w:rsidR="0072147A">
        <w:rPr>
          <w:sz w:val="24"/>
        </w:rPr>
        <w:t>tested</w:t>
      </w:r>
      <w:r>
        <w:rPr>
          <w:sz w:val="24"/>
        </w:rPr>
        <w:t xml:space="preserve">, </w:t>
      </w:r>
      <w:r w:rsidR="009C7476">
        <w:rPr>
          <w:sz w:val="24"/>
        </w:rPr>
        <w:t xml:space="preserve">the </w:t>
      </w:r>
      <w:r>
        <w:rPr>
          <w:sz w:val="24"/>
        </w:rPr>
        <w:t xml:space="preserve">matrix in which samples should be provided, </w:t>
      </w:r>
      <w:r w:rsidR="00004EA3">
        <w:rPr>
          <w:sz w:val="24"/>
        </w:rPr>
        <w:t xml:space="preserve">and </w:t>
      </w:r>
      <w:r w:rsidR="009C7476">
        <w:rPr>
          <w:sz w:val="24"/>
        </w:rPr>
        <w:t xml:space="preserve">the </w:t>
      </w:r>
      <w:r>
        <w:rPr>
          <w:sz w:val="24"/>
        </w:rPr>
        <w:t xml:space="preserve">methods to be </w:t>
      </w:r>
      <w:r w:rsidR="0072147A">
        <w:rPr>
          <w:sz w:val="24"/>
        </w:rPr>
        <w:t>employed</w:t>
      </w:r>
      <w:r w:rsidR="009C7476">
        <w:rPr>
          <w:sz w:val="24"/>
        </w:rPr>
        <w:t>.</w:t>
      </w:r>
    </w:p>
    <w:p w14:paraId="1424A28D" w14:textId="7ADE7CE8" w:rsidR="00731B6D" w:rsidRDefault="00731B6D">
      <w:pPr>
        <w:pStyle w:val="ListParagraph"/>
        <w:numPr>
          <w:ilvl w:val="1"/>
          <w:numId w:val="1"/>
        </w:numPr>
        <w:tabs>
          <w:tab w:val="left" w:pos="1600"/>
        </w:tabs>
        <w:ind w:right="185"/>
        <w:rPr>
          <w:sz w:val="24"/>
        </w:rPr>
      </w:pPr>
      <w:r>
        <w:rPr>
          <w:sz w:val="24"/>
        </w:rPr>
        <w:t>D</w:t>
      </w:r>
      <w:r w:rsidR="009C41F7">
        <w:rPr>
          <w:sz w:val="24"/>
        </w:rPr>
        <w:t xml:space="preserve">evelop </w:t>
      </w:r>
      <w:r w:rsidR="009C7476">
        <w:rPr>
          <w:sz w:val="24"/>
        </w:rPr>
        <w:t xml:space="preserve">a </w:t>
      </w:r>
      <w:r w:rsidR="009C41F7">
        <w:rPr>
          <w:sz w:val="24"/>
        </w:rPr>
        <w:t xml:space="preserve">contract/other understanding with </w:t>
      </w:r>
      <w:r>
        <w:rPr>
          <w:sz w:val="24"/>
        </w:rPr>
        <w:t xml:space="preserve">sample </w:t>
      </w:r>
      <w:r w:rsidR="009C41F7">
        <w:rPr>
          <w:sz w:val="24"/>
        </w:rPr>
        <w:t>provider</w:t>
      </w:r>
      <w:r w:rsidR="009C7476">
        <w:rPr>
          <w:sz w:val="24"/>
        </w:rPr>
        <w:t>(s)</w:t>
      </w:r>
      <w:r w:rsidR="009C41F7">
        <w:rPr>
          <w:sz w:val="24"/>
        </w:rPr>
        <w:t xml:space="preserve"> </w:t>
      </w:r>
      <w:r w:rsidR="0072147A">
        <w:rPr>
          <w:sz w:val="24"/>
        </w:rPr>
        <w:t>specifying</w:t>
      </w:r>
      <w:r>
        <w:rPr>
          <w:sz w:val="24"/>
        </w:rPr>
        <w:t xml:space="preserve"> </w:t>
      </w:r>
      <w:r w:rsidR="0072147A">
        <w:rPr>
          <w:sz w:val="24"/>
        </w:rPr>
        <w:t xml:space="preserve">a </w:t>
      </w:r>
      <w:r w:rsidR="00523F49">
        <w:rPr>
          <w:sz w:val="24"/>
        </w:rPr>
        <w:t xml:space="preserve">sufficient number of </w:t>
      </w:r>
      <w:r w:rsidR="009C41F7">
        <w:rPr>
          <w:sz w:val="24"/>
        </w:rPr>
        <w:t xml:space="preserve">samples </w:t>
      </w:r>
      <w:r w:rsidR="00523F49">
        <w:rPr>
          <w:sz w:val="24"/>
        </w:rPr>
        <w:t>for the labs being assessed</w:t>
      </w:r>
      <w:r>
        <w:rPr>
          <w:sz w:val="24"/>
        </w:rPr>
        <w:t xml:space="preserve">, the </w:t>
      </w:r>
      <w:r w:rsidR="0072147A">
        <w:rPr>
          <w:sz w:val="24"/>
        </w:rPr>
        <w:t xml:space="preserve">sample composition, </w:t>
      </w:r>
      <w:r w:rsidR="00523F49">
        <w:rPr>
          <w:sz w:val="24"/>
        </w:rPr>
        <w:t xml:space="preserve">concentration range (or </w:t>
      </w:r>
      <w:r w:rsidR="00547C16">
        <w:rPr>
          <w:sz w:val="24"/>
        </w:rPr>
        <w:t>an</w:t>
      </w:r>
      <w:r w:rsidR="00523F49">
        <w:rPr>
          <w:sz w:val="24"/>
        </w:rPr>
        <w:t>other measure) desired</w:t>
      </w:r>
      <w:r w:rsidR="0072147A">
        <w:rPr>
          <w:sz w:val="24"/>
        </w:rPr>
        <w:t>,</w:t>
      </w:r>
      <w:r w:rsidR="009C41F7">
        <w:rPr>
          <w:sz w:val="24"/>
        </w:rPr>
        <w:t xml:space="preserve"> and timeframe required for </w:t>
      </w:r>
      <w:r w:rsidR="00547C16">
        <w:rPr>
          <w:sz w:val="24"/>
        </w:rPr>
        <w:t xml:space="preserve">the </w:t>
      </w:r>
      <w:r w:rsidR="00004EA3">
        <w:rPr>
          <w:sz w:val="24"/>
        </w:rPr>
        <w:t>provision of the samples</w:t>
      </w:r>
      <w:r w:rsidR="009C41F7">
        <w:rPr>
          <w:sz w:val="24"/>
        </w:rPr>
        <w:t xml:space="preserve">.  </w:t>
      </w:r>
    </w:p>
    <w:p w14:paraId="348F9AC2" w14:textId="2324E995" w:rsidR="009C41F7" w:rsidRDefault="00731B6D">
      <w:pPr>
        <w:pStyle w:val="ListParagraph"/>
        <w:numPr>
          <w:ilvl w:val="1"/>
          <w:numId w:val="1"/>
        </w:numPr>
        <w:tabs>
          <w:tab w:val="left" w:pos="1600"/>
        </w:tabs>
        <w:ind w:right="185"/>
        <w:rPr>
          <w:sz w:val="24"/>
        </w:rPr>
      </w:pPr>
      <w:r>
        <w:rPr>
          <w:sz w:val="24"/>
        </w:rPr>
        <w:lastRenderedPageBreak/>
        <w:t>E</w:t>
      </w:r>
      <w:r w:rsidR="00523F49">
        <w:rPr>
          <w:sz w:val="24"/>
        </w:rPr>
        <w:t xml:space="preserve">nsure that samples </w:t>
      </w:r>
      <w:r w:rsidR="008660DD">
        <w:rPr>
          <w:sz w:val="24"/>
        </w:rPr>
        <w:t>are prepared</w:t>
      </w:r>
      <w:r w:rsidR="00DA660D">
        <w:rPr>
          <w:sz w:val="24"/>
        </w:rPr>
        <w:t>, packaged,</w:t>
      </w:r>
      <w:r w:rsidR="008660DD">
        <w:rPr>
          <w:sz w:val="24"/>
        </w:rPr>
        <w:t xml:space="preserve"> </w:t>
      </w:r>
      <w:r w:rsidR="00A17B32">
        <w:rPr>
          <w:sz w:val="24"/>
        </w:rPr>
        <w:t xml:space="preserve">and shipped </w:t>
      </w:r>
      <w:r w:rsidR="008660DD">
        <w:rPr>
          <w:sz w:val="24"/>
        </w:rPr>
        <w:t xml:space="preserve">in such </w:t>
      </w:r>
      <w:r w:rsidR="00547C16">
        <w:rPr>
          <w:sz w:val="24"/>
        </w:rPr>
        <w:t xml:space="preserve">a </w:t>
      </w:r>
      <w:r w:rsidR="008660DD">
        <w:rPr>
          <w:sz w:val="24"/>
        </w:rPr>
        <w:t xml:space="preserve">manner </w:t>
      </w:r>
      <w:r>
        <w:rPr>
          <w:sz w:val="24"/>
        </w:rPr>
        <w:t>that prevents</w:t>
      </w:r>
      <w:r w:rsidR="00523F49">
        <w:rPr>
          <w:sz w:val="24"/>
        </w:rPr>
        <w:t xml:space="preserve"> degrad</w:t>
      </w:r>
      <w:r>
        <w:rPr>
          <w:sz w:val="24"/>
        </w:rPr>
        <w:t xml:space="preserve">ation or alteration of the </w:t>
      </w:r>
      <w:r w:rsidR="00574C2E">
        <w:rPr>
          <w:sz w:val="24"/>
        </w:rPr>
        <w:t xml:space="preserve">sample </w:t>
      </w:r>
      <w:r w:rsidR="004253FE">
        <w:rPr>
          <w:sz w:val="24"/>
        </w:rPr>
        <w:t>prior to analysis</w:t>
      </w:r>
      <w:r w:rsidR="00523F49">
        <w:rPr>
          <w:sz w:val="24"/>
        </w:rPr>
        <w:t>.</w:t>
      </w:r>
      <w:r w:rsidR="0097680A">
        <w:rPr>
          <w:sz w:val="24"/>
        </w:rPr>
        <w:t xml:space="preserve">  </w:t>
      </w:r>
    </w:p>
    <w:p w14:paraId="1E0A73C3" w14:textId="124B166E" w:rsidR="00D85D1A" w:rsidRDefault="00A97002">
      <w:pPr>
        <w:pStyle w:val="ListParagraph"/>
        <w:numPr>
          <w:ilvl w:val="1"/>
          <w:numId w:val="1"/>
        </w:numPr>
        <w:tabs>
          <w:tab w:val="left" w:pos="1600"/>
        </w:tabs>
        <w:ind w:right="385"/>
        <w:rPr>
          <w:sz w:val="24"/>
        </w:rPr>
      </w:pPr>
      <w:r>
        <w:rPr>
          <w:sz w:val="24"/>
        </w:rPr>
        <w:t>Ensure m</w:t>
      </w:r>
      <w:r w:rsidR="00AB1481">
        <w:rPr>
          <w:sz w:val="24"/>
        </w:rPr>
        <w:t xml:space="preserve">aterials used for PT samples </w:t>
      </w:r>
      <w:r>
        <w:rPr>
          <w:sz w:val="24"/>
        </w:rPr>
        <w:t xml:space="preserve">are </w:t>
      </w:r>
      <w:r w:rsidR="00AB1481">
        <w:rPr>
          <w:sz w:val="24"/>
        </w:rPr>
        <w:t>well</w:t>
      </w:r>
      <w:r w:rsidR="009C7476">
        <w:rPr>
          <w:sz w:val="24"/>
        </w:rPr>
        <w:t>-</w:t>
      </w:r>
      <w:r w:rsidR="00AB1481">
        <w:rPr>
          <w:sz w:val="24"/>
        </w:rPr>
        <w:t>characterized or have traceability to a national standard</w:t>
      </w:r>
      <w:r w:rsidR="00757BD9">
        <w:rPr>
          <w:sz w:val="24"/>
        </w:rPr>
        <w:t xml:space="preserve"> or to the SI (International System of Units)</w:t>
      </w:r>
      <w:r w:rsidR="00AB1481">
        <w:rPr>
          <w:sz w:val="24"/>
        </w:rPr>
        <w:t>, as</w:t>
      </w:r>
      <w:r w:rsidR="00AB1481">
        <w:rPr>
          <w:spacing w:val="-5"/>
          <w:sz w:val="24"/>
        </w:rPr>
        <w:t xml:space="preserve"> </w:t>
      </w:r>
      <w:r w:rsidR="00AB1481">
        <w:rPr>
          <w:sz w:val="24"/>
        </w:rPr>
        <w:t>appropriate.</w:t>
      </w:r>
    </w:p>
    <w:p w14:paraId="3F4F6643" w14:textId="65A824D1" w:rsidR="00523F49" w:rsidRDefault="00574C2E">
      <w:pPr>
        <w:pStyle w:val="ListParagraph"/>
        <w:numPr>
          <w:ilvl w:val="1"/>
          <w:numId w:val="1"/>
        </w:numPr>
        <w:tabs>
          <w:tab w:val="left" w:pos="1600"/>
        </w:tabs>
        <w:ind w:right="1014"/>
        <w:rPr>
          <w:sz w:val="20"/>
        </w:rPr>
      </w:pPr>
      <w:r>
        <w:rPr>
          <w:sz w:val="24"/>
        </w:rPr>
        <w:t>Identify r</w:t>
      </w:r>
      <w:r w:rsidR="00523F49">
        <w:rPr>
          <w:sz w:val="24"/>
        </w:rPr>
        <w:t>eference/</w:t>
      </w:r>
      <w:r>
        <w:rPr>
          <w:sz w:val="24"/>
        </w:rPr>
        <w:t>r</w:t>
      </w:r>
      <w:r w:rsidR="00523F49">
        <w:rPr>
          <w:sz w:val="24"/>
        </w:rPr>
        <w:t xml:space="preserve">eferee laboratories (i.e., qualified laboratories not being assessed in the PT), </w:t>
      </w:r>
      <w:r w:rsidR="007E3772">
        <w:rPr>
          <w:sz w:val="24"/>
        </w:rPr>
        <w:t>where</w:t>
      </w:r>
      <w:r w:rsidR="00523F49">
        <w:rPr>
          <w:sz w:val="24"/>
        </w:rPr>
        <w:t xml:space="preserve"> possible, to confirm PT samples are prepared as ordered</w:t>
      </w:r>
      <w:r>
        <w:rPr>
          <w:sz w:val="24"/>
        </w:rPr>
        <w:t xml:space="preserve"> and i</w:t>
      </w:r>
      <w:r w:rsidR="007E3772">
        <w:rPr>
          <w:sz w:val="24"/>
        </w:rPr>
        <w:t xml:space="preserve">ncorporate this QA step into </w:t>
      </w:r>
      <w:r>
        <w:rPr>
          <w:sz w:val="24"/>
        </w:rPr>
        <w:t xml:space="preserve">the </w:t>
      </w:r>
      <w:r w:rsidR="007E3772">
        <w:rPr>
          <w:sz w:val="24"/>
        </w:rPr>
        <w:t>PT schedule.</w:t>
      </w:r>
    </w:p>
    <w:p w14:paraId="7278DF4D" w14:textId="19F7DC74" w:rsidR="009C41F7" w:rsidRDefault="00E96E31" w:rsidP="007F2E28">
      <w:pPr>
        <w:pStyle w:val="ListParagraph"/>
        <w:numPr>
          <w:ilvl w:val="1"/>
          <w:numId w:val="1"/>
        </w:numPr>
        <w:tabs>
          <w:tab w:val="left" w:pos="1600"/>
        </w:tabs>
        <w:rPr>
          <w:sz w:val="24"/>
        </w:rPr>
      </w:pPr>
      <w:r>
        <w:rPr>
          <w:sz w:val="24"/>
        </w:rPr>
        <w:t>E</w:t>
      </w:r>
      <w:r w:rsidR="00A909EF" w:rsidRPr="005765E2">
        <w:rPr>
          <w:sz w:val="24"/>
        </w:rPr>
        <w:t xml:space="preserve">nsure control </w:t>
      </w:r>
      <w:r w:rsidR="00C556F5" w:rsidRPr="005765E2">
        <w:rPr>
          <w:sz w:val="24"/>
        </w:rPr>
        <w:t xml:space="preserve">test </w:t>
      </w:r>
      <w:r w:rsidR="00A909EF" w:rsidRPr="00F564C9">
        <w:rPr>
          <w:sz w:val="24"/>
        </w:rPr>
        <w:t>samples</w:t>
      </w:r>
      <w:r w:rsidR="004B6C5C">
        <w:rPr>
          <w:sz w:val="24"/>
        </w:rPr>
        <w:t xml:space="preserve"> (e.g., blanks, spikes, duplicates and others)</w:t>
      </w:r>
      <w:r w:rsidR="00A909EF" w:rsidRPr="00F564C9">
        <w:rPr>
          <w:sz w:val="24"/>
        </w:rPr>
        <w:t xml:space="preserve"> are included with the set of samples supplied to each participant</w:t>
      </w:r>
      <w:r>
        <w:rPr>
          <w:sz w:val="24"/>
        </w:rPr>
        <w:t>, where applicable</w:t>
      </w:r>
      <w:r w:rsidR="00A909EF" w:rsidRPr="00F564C9">
        <w:rPr>
          <w:sz w:val="24"/>
        </w:rPr>
        <w:t xml:space="preserve">.  </w:t>
      </w:r>
    </w:p>
    <w:p w14:paraId="54D10A02" w14:textId="77777777" w:rsidR="009C1EAC" w:rsidRPr="005765E2" w:rsidRDefault="009C1EAC" w:rsidP="005A75DA">
      <w:pPr>
        <w:pStyle w:val="ListParagraph"/>
        <w:tabs>
          <w:tab w:val="left" w:pos="1600"/>
        </w:tabs>
        <w:ind w:left="720" w:firstLine="0"/>
        <w:rPr>
          <w:sz w:val="24"/>
        </w:rPr>
      </w:pPr>
    </w:p>
    <w:p w14:paraId="00B1803F" w14:textId="009035EF" w:rsidR="00D85D1A" w:rsidRPr="005A75DA" w:rsidRDefault="00AB1481">
      <w:pPr>
        <w:pStyle w:val="ListParagraph"/>
        <w:numPr>
          <w:ilvl w:val="0"/>
          <w:numId w:val="1"/>
        </w:numPr>
        <w:tabs>
          <w:tab w:val="left" w:pos="880"/>
        </w:tabs>
        <w:spacing w:before="76"/>
        <w:rPr>
          <w:b/>
          <w:bCs/>
          <w:sz w:val="24"/>
        </w:rPr>
      </w:pPr>
      <w:bookmarkStart w:id="5" w:name="_Hlk73539692"/>
      <w:r w:rsidRPr="005A75DA">
        <w:rPr>
          <w:b/>
          <w:bCs/>
          <w:sz w:val="24"/>
        </w:rPr>
        <w:t>Coordination of Samples and</w:t>
      </w:r>
      <w:r w:rsidRPr="005A75DA">
        <w:rPr>
          <w:b/>
          <w:bCs/>
          <w:spacing w:val="-3"/>
          <w:sz w:val="24"/>
        </w:rPr>
        <w:t xml:space="preserve"> </w:t>
      </w:r>
      <w:r w:rsidRPr="005A75DA">
        <w:rPr>
          <w:b/>
          <w:bCs/>
          <w:sz w:val="24"/>
        </w:rPr>
        <w:t>Results</w:t>
      </w:r>
    </w:p>
    <w:bookmarkEnd w:id="5"/>
    <w:p w14:paraId="2610997E" w14:textId="4CB0D707" w:rsidR="00523F49" w:rsidRPr="00A23CC4" w:rsidRDefault="00523F49" w:rsidP="009C1EAC">
      <w:pPr>
        <w:tabs>
          <w:tab w:val="left" w:pos="1600"/>
        </w:tabs>
        <w:ind w:right="212"/>
        <w:rPr>
          <w:sz w:val="24"/>
        </w:rPr>
      </w:pPr>
      <w:r>
        <w:rPr>
          <w:sz w:val="24"/>
        </w:rPr>
        <w:t>The NPO should</w:t>
      </w:r>
      <w:r w:rsidR="007E3772">
        <w:rPr>
          <w:sz w:val="24"/>
        </w:rPr>
        <w:t>:</w:t>
      </w:r>
    </w:p>
    <w:p w14:paraId="34918FAF" w14:textId="5F3ED4DD" w:rsidR="00D85D1A" w:rsidRDefault="00AB1481">
      <w:pPr>
        <w:pStyle w:val="ListParagraph"/>
        <w:numPr>
          <w:ilvl w:val="1"/>
          <w:numId w:val="1"/>
        </w:numPr>
        <w:tabs>
          <w:tab w:val="left" w:pos="1600"/>
        </w:tabs>
        <w:ind w:right="212"/>
        <w:rPr>
          <w:sz w:val="24"/>
        </w:rPr>
      </w:pPr>
      <w:r>
        <w:rPr>
          <w:sz w:val="24"/>
        </w:rPr>
        <w:t xml:space="preserve">Have procedures in place for notifying participating laboratories </w:t>
      </w:r>
      <w:r w:rsidR="007E3772">
        <w:rPr>
          <w:sz w:val="24"/>
        </w:rPr>
        <w:t xml:space="preserve">when </w:t>
      </w:r>
      <w:r>
        <w:rPr>
          <w:sz w:val="24"/>
        </w:rPr>
        <w:t>samples will arriv</w:t>
      </w:r>
      <w:r w:rsidR="006157DA">
        <w:rPr>
          <w:sz w:val="24"/>
        </w:rPr>
        <w:t xml:space="preserve">e at </w:t>
      </w:r>
      <w:r>
        <w:rPr>
          <w:sz w:val="24"/>
        </w:rPr>
        <w:t>the</w:t>
      </w:r>
      <w:r>
        <w:rPr>
          <w:spacing w:val="-4"/>
          <w:sz w:val="24"/>
        </w:rPr>
        <w:t xml:space="preserve"> </w:t>
      </w:r>
      <w:r>
        <w:rPr>
          <w:sz w:val="24"/>
        </w:rPr>
        <w:t>laboratory</w:t>
      </w:r>
      <w:r w:rsidR="0097680A">
        <w:rPr>
          <w:sz w:val="24"/>
        </w:rPr>
        <w:t xml:space="preserve"> and advising them on special handling/storage requirements</w:t>
      </w:r>
      <w:r>
        <w:rPr>
          <w:sz w:val="24"/>
        </w:rPr>
        <w:t>.</w:t>
      </w:r>
    </w:p>
    <w:p w14:paraId="4F41F927" w14:textId="08790964" w:rsidR="00D85D1A" w:rsidRDefault="00AB1481">
      <w:pPr>
        <w:pStyle w:val="ListParagraph"/>
        <w:numPr>
          <w:ilvl w:val="1"/>
          <w:numId w:val="1"/>
        </w:numPr>
        <w:tabs>
          <w:tab w:val="left" w:pos="1600"/>
        </w:tabs>
        <w:rPr>
          <w:sz w:val="24"/>
        </w:rPr>
      </w:pPr>
      <w:r>
        <w:rPr>
          <w:sz w:val="24"/>
        </w:rPr>
        <w:t>Establish timelines for submitting</w:t>
      </w:r>
      <w:r>
        <w:rPr>
          <w:spacing w:val="-13"/>
          <w:sz w:val="24"/>
        </w:rPr>
        <w:t xml:space="preserve"> </w:t>
      </w:r>
      <w:r w:rsidR="006157DA">
        <w:rPr>
          <w:spacing w:val="-13"/>
          <w:sz w:val="24"/>
        </w:rPr>
        <w:t xml:space="preserve">PT </w:t>
      </w:r>
      <w:r>
        <w:rPr>
          <w:sz w:val="24"/>
        </w:rPr>
        <w:t>results</w:t>
      </w:r>
      <w:r w:rsidR="007E3772">
        <w:rPr>
          <w:sz w:val="24"/>
        </w:rPr>
        <w:t xml:space="preserve"> after receipt of samples</w:t>
      </w:r>
      <w:r>
        <w:rPr>
          <w:sz w:val="24"/>
        </w:rPr>
        <w:t>.</w:t>
      </w:r>
    </w:p>
    <w:p w14:paraId="10F7D628" w14:textId="61BFED22" w:rsidR="006157DA" w:rsidRDefault="006157DA">
      <w:pPr>
        <w:pStyle w:val="ListParagraph"/>
        <w:numPr>
          <w:ilvl w:val="1"/>
          <w:numId w:val="1"/>
        </w:numPr>
        <w:tabs>
          <w:tab w:val="left" w:pos="1600"/>
        </w:tabs>
        <w:rPr>
          <w:sz w:val="24"/>
        </w:rPr>
      </w:pPr>
      <w:r>
        <w:rPr>
          <w:sz w:val="24"/>
        </w:rPr>
        <w:t xml:space="preserve">Instruct </w:t>
      </w:r>
      <w:r w:rsidR="00AB1481">
        <w:rPr>
          <w:sz w:val="24"/>
        </w:rPr>
        <w:t xml:space="preserve">participating laboratories </w:t>
      </w:r>
      <w:r w:rsidR="007E3772">
        <w:rPr>
          <w:sz w:val="24"/>
        </w:rPr>
        <w:t xml:space="preserve">on </w:t>
      </w:r>
      <w:r>
        <w:rPr>
          <w:sz w:val="24"/>
        </w:rPr>
        <w:t xml:space="preserve">reporting </w:t>
      </w:r>
      <w:r w:rsidR="007E3772">
        <w:rPr>
          <w:sz w:val="24"/>
        </w:rPr>
        <w:t>values (including uncertainty, as appropriate) for each sample</w:t>
      </w:r>
      <w:r>
        <w:rPr>
          <w:sz w:val="24"/>
        </w:rPr>
        <w:t>.</w:t>
      </w:r>
    </w:p>
    <w:p w14:paraId="31002493" w14:textId="2E889626" w:rsidR="00D85D1A" w:rsidRDefault="006157DA">
      <w:pPr>
        <w:pStyle w:val="ListParagraph"/>
        <w:numPr>
          <w:ilvl w:val="1"/>
          <w:numId w:val="1"/>
        </w:numPr>
        <w:tabs>
          <w:tab w:val="left" w:pos="1600"/>
        </w:tabs>
        <w:rPr>
          <w:sz w:val="24"/>
        </w:rPr>
      </w:pPr>
      <w:r>
        <w:rPr>
          <w:sz w:val="24"/>
        </w:rPr>
        <w:t xml:space="preserve">Provide </w:t>
      </w:r>
      <w:r w:rsidR="00AB1481">
        <w:rPr>
          <w:sz w:val="24"/>
        </w:rPr>
        <w:t>a mechanism to report</w:t>
      </w:r>
      <w:r w:rsidR="00AB1481">
        <w:rPr>
          <w:spacing w:val="-13"/>
          <w:sz w:val="24"/>
        </w:rPr>
        <w:t xml:space="preserve"> </w:t>
      </w:r>
      <w:r w:rsidR="00AB1481">
        <w:rPr>
          <w:sz w:val="24"/>
        </w:rPr>
        <w:t>results</w:t>
      </w:r>
      <w:r w:rsidR="009B57AC">
        <w:rPr>
          <w:sz w:val="24"/>
        </w:rPr>
        <w:t xml:space="preserve"> from labs to the NPO</w:t>
      </w:r>
      <w:r w:rsidR="00AB1481">
        <w:rPr>
          <w:sz w:val="24"/>
        </w:rPr>
        <w:t>.</w:t>
      </w:r>
    </w:p>
    <w:p w14:paraId="104EA5F0" w14:textId="77777777" w:rsidR="00D85D1A" w:rsidRDefault="00D85D1A">
      <w:pPr>
        <w:pStyle w:val="BodyText"/>
        <w:ind w:left="0" w:firstLine="0"/>
        <w:rPr>
          <w:sz w:val="26"/>
        </w:rPr>
      </w:pPr>
    </w:p>
    <w:p w14:paraId="2CA3A5D0" w14:textId="77777777" w:rsidR="00D85D1A" w:rsidRPr="005A75DA" w:rsidRDefault="00AB1481">
      <w:pPr>
        <w:pStyle w:val="ListParagraph"/>
        <w:numPr>
          <w:ilvl w:val="0"/>
          <w:numId w:val="1"/>
        </w:numPr>
        <w:tabs>
          <w:tab w:val="left" w:pos="880"/>
        </w:tabs>
        <w:spacing w:before="1"/>
        <w:rPr>
          <w:b/>
          <w:bCs/>
          <w:sz w:val="24"/>
        </w:rPr>
      </w:pPr>
      <w:r w:rsidRPr="005A75DA">
        <w:rPr>
          <w:b/>
          <w:bCs/>
          <w:sz w:val="24"/>
        </w:rPr>
        <w:t>Safety Considerations</w:t>
      </w:r>
    </w:p>
    <w:p w14:paraId="0043576D" w14:textId="464A9305" w:rsidR="00004FA9" w:rsidRPr="00A23CC4" w:rsidRDefault="00004FA9" w:rsidP="009C1EAC">
      <w:pPr>
        <w:tabs>
          <w:tab w:val="left" w:pos="1600"/>
        </w:tabs>
        <w:ind w:right="977"/>
        <w:rPr>
          <w:sz w:val="24"/>
        </w:rPr>
      </w:pPr>
      <w:r>
        <w:rPr>
          <w:sz w:val="24"/>
        </w:rPr>
        <w:t>The NPO should ensure:</w:t>
      </w:r>
    </w:p>
    <w:p w14:paraId="1D1CE0F9" w14:textId="5965A100" w:rsidR="00D85D1A" w:rsidRDefault="00004FA9">
      <w:pPr>
        <w:pStyle w:val="ListParagraph"/>
        <w:numPr>
          <w:ilvl w:val="1"/>
          <w:numId w:val="1"/>
        </w:numPr>
        <w:tabs>
          <w:tab w:val="left" w:pos="1600"/>
        </w:tabs>
        <w:ind w:right="977"/>
        <w:rPr>
          <w:sz w:val="24"/>
        </w:rPr>
      </w:pPr>
      <w:r>
        <w:rPr>
          <w:sz w:val="24"/>
        </w:rPr>
        <w:t>S</w:t>
      </w:r>
      <w:r w:rsidR="00AB1481">
        <w:rPr>
          <w:sz w:val="24"/>
        </w:rPr>
        <w:t>amples</w:t>
      </w:r>
      <w:r w:rsidR="005B5BE5">
        <w:rPr>
          <w:sz w:val="24"/>
        </w:rPr>
        <w:t xml:space="preserve">, especially chemical, biological, </w:t>
      </w:r>
      <w:r w:rsidR="008B0DE9">
        <w:rPr>
          <w:sz w:val="24"/>
        </w:rPr>
        <w:t xml:space="preserve">and </w:t>
      </w:r>
      <w:r w:rsidR="005B5BE5">
        <w:rPr>
          <w:sz w:val="24"/>
        </w:rPr>
        <w:t>radiological samples,</w:t>
      </w:r>
      <w:r w:rsidR="00AB1481">
        <w:rPr>
          <w:sz w:val="24"/>
        </w:rPr>
        <w:t xml:space="preserve"> </w:t>
      </w:r>
      <w:r>
        <w:rPr>
          <w:sz w:val="24"/>
        </w:rPr>
        <w:t xml:space="preserve">are </w:t>
      </w:r>
      <w:r w:rsidR="00805B40">
        <w:rPr>
          <w:sz w:val="24"/>
        </w:rPr>
        <w:t xml:space="preserve">packaged and </w:t>
      </w:r>
      <w:r>
        <w:rPr>
          <w:sz w:val="24"/>
        </w:rPr>
        <w:t xml:space="preserve">shipped </w:t>
      </w:r>
      <w:r w:rsidR="005B5BE5">
        <w:rPr>
          <w:sz w:val="24"/>
        </w:rPr>
        <w:t xml:space="preserve">in </w:t>
      </w:r>
      <w:r w:rsidR="00AB1481">
        <w:rPr>
          <w:sz w:val="24"/>
        </w:rPr>
        <w:t>accord</w:t>
      </w:r>
      <w:r w:rsidR="005B5BE5">
        <w:rPr>
          <w:sz w:val="24"/>
        </w:rPr>
        <w:t>ance</w:t>
      </w:r>
      <w:r w:rsidR="00AB1481">
        <w:rPr>
          <w:sz w:val="24"/>
        </w:rPr>
        <w:t xml:space="preserve"> </w:t>
      </w:r>
      <w:r w:rsidR="005B5BE5">
        <w:rPr>
          <w:sz w:val="24"/>
        </w:rPr>
        <w:t>with</w:t>
      </w:r>
      <w:r w:rsidR="006157DA">
        <w:rPr>
          <w:sz w:val="24"/>
        </w:rPr>
        <w:t xml:space="preserve"> </w:t>
      </w:r>
      <w:r w:rsidR="00AB1481">
        <w:rPr>
          <w:sz w:val="24"/>
        </w:rPr>
        <w:t xml:space="preserve">appropriate </w:t>
      </w:r>
      <w:r w:rsidR="005B5BE5">
        <w:rPr>
          <w:sz w:val="24"/>
        </w:rPr>
        <w:t>regulations and permits</w:t>
      </w:r>
      <w:r w:rsidR="00805B40">
        <w:rPr>
          <w:sz w:val="24"/>
        </w:rPr>
        <w:t>,</w:t>
      </w:r>
      <w:r w:rsidR="005B5BE5">
        <w:rPr>
          <w:sz w:val="24"/>
        </w:rPr>
        <w:t xml:space="preserve"> such as </w:t>
      </w:r>
      <w:r w:rsidR="00DB69A1">
        <w:rPr>
          <w:sz w:val="24"/>
        </w:rPr>
        <w:t>International Air Transport Association (</w:t>
      </w:r>
      <w:r w:rsidR="00BF537E">
        <w:rPr>
          <w:sz w:val="24"/>
        </w:rPr>
        <w:t>IATA</w:t>
      </w:r>
      <w:r w:rsidR="00DB69A1">
        <w:rPr>
          <w:sz w:val="24"/>
        </w:rPr>
        <w:t>)</w:t>
      </w:r>
      <w:r w:rsidR="005B5BE5">
        <w:rPr>
          <w:sz w:val="24"/>
        </w:rPr>
        <w:t xml:space="preserve"> and Department of Transportation (DOT)</w:t>
      </w:r>
      <w:r w:rsidR="00AB1481">
        <w:rPr>
          <w:sz w:val="24"/>
        </w:rPr>
        <w:t>.</w:t>
      </w:r>
    </w:p>
    <w:p w14:paraId="77EF8413" w14:textId="363736C4" w:rsidR="00D85D1A" w:rsidRDefault="00AB1481">
      <w:pPr>
        <w:pStyle w:val="ListParagraph"/>
        <w:numPr>
          <w:ilvl w:val="1"/>
          <w:numId w:val="1"/>
        </w:numPr>
        <w:tabs>
          <w:tab w:val="left" w:pos="1600"/>
        </w:tabs>
        <w:ind w:right="367"/>
        <w:rPr>
          <w:sz w:val="24"/>
        </w:rPr>
      </w:pPr>
      <w:r>
        <w:rPr>
          <w:sz w:val="24"/>
        </w:rPr>
        <w:t xml:space="preserve">Where possible, </w:t>
      </w:r>
      <w:r w:rsidR="006157DA">
        <w:rPr>
          <w:sz w:val="24"/>
        </w:rPr>
        <w:t xml:space="preserve">the </w:t>
      </w:r>
      <w:r>
        <w:rPr>
          <w:sz w:val="24"/>
        </w:rPr>
        <w:t xml:space="preserve">least hazardous testing material </w:t>
      </w:r>
      <w:r w:rsidR="006157DA">
        <w:rPr>
          <w:sz w:val="24"/>
        </w:rPr>
        <w:t>is</w:t>
      </w:r>
      <w:r>
        <w:rPr>
          <w:sz w:val="24"/>
        </w:rPr>
        <w:t xml:space="preserve"> used (</w:t>
      </w:r>
      <w:r w:rsidR="00A23CC4">
        <w:rPr>
          <w:sz w:val="24"/>
        </w:rPr>
        <w:t>e.g.,</w:t>
      </w:r>
      <w:r>
        <w:rPr>
          <w:sz w:val="24"/>
        </w:rPr>
        <w:t xml:space="preserve"> inactivated or attenuated</w:t>
      </w:r>
      <w:r>
        <w:rPr>
          <w:spacing w:val="-3"/>
          <w:sz w:val="24"/>
        </w:rPr>
        <w:t xml:space="preserve"> </w:t>
      </w:r>
      <w:r>
        <w:rPr>
          <w:sz w:val="24"/>
        </w:rPr>
        <w:t>strains</w:t>
      </w:r>
      <w:r w:rsidR="0035201C">
        <w:rPr>
          <w:sz w:val="24"/>
        </w:rPr>
        <w:t>, surrogate materials</w:t>
      </w:r>
      <w:r>
        <w:rPr>
          <w:sz w:val="24"/>
        </w:rPr>
        <w:t>).</w:t>
      </w:r>
    </w:p>
    <w:p w14:paraId="3AAAC204" w14:textId="6DFD979E" w:rsidR="00D85D1A" w:rsidRDefault="008D1247">
      <w:pPr>
        <w:pStyle w:val="ListParagraph"/>
        <w:numPr>
          <w:ilvl w:val="1"/>
          <w:numId w:val="1"/>
        </w:numPr>
        <w:tabs>
          <w:tab w:val="left" w:pos="1600"/>
        </w:tabs>
        <w:ind w:right="861"/>
        <w:rPr>
          <w:sz w:val="24"/>
        </w:rPr>
      </w:pPr>
      <w:r>
        <w:rPr>
          <w:sz w:val="24"/>
        </w:rPr>
        <w:t>Hazardous aspects and s</w:t>
      </w:r>
      <w:r w:rsidR="00AB1481">
        <w:rPr>
          <w:sz w:val="24"/>
        </w:rPr>
        <w:t xml:space="preserve">pecial safety concerns for handling and testing of samples </w:t>
      </w:r>
      <w:r w:rsidR="006157DA">
        <w:rPr>
          <w:sz w:val="24"/>
        </w:rPr>
        <w:t>are</w:t>
      </w:r>
      <w:r w:rsidR="00AB1481">
        <w:rPr>
          <w:spacing w:val="-10"/>
          <w:sz w:val="24"/>
        </w:rPr>
        <w:t xml:space="preserve"> </w:t>
      </w:r>
      <w:r w:rsidR="00AB1481">
        <w:rPr>
          <w:sz w:val="24"/>
        </w:rPr>
        <w:t>clearly communicated</w:t>
      </w:r>
      <w:r>
        <w:rPr>
          <w:sz w:val="24"/>
        </w:rPr>
        <w:t xml:space="preserve"> to the participants</w:t>
      </w:r>
      <w:r w:rsidR="00AB1481">
        <w:rPr>
          <w:sz w:val="24"/>
        </w:rPr>
        <w:t>.</w:t>
      </w:r>
    </w:p>
    <w:p w14:paraId="257B6C56" w14:textId="0A16087D" w:rsidR="00D85D1A" w:rsidRDefault="00592B81">
      <w:pPr>
        <w:pStyle w:val="ListParagraph"/>
        <w:numPr>
          <w:ilvl w:val="1"/>
          <w:numId w:val="1"/>
        </w:numPr>
        <w:tabs>
          <w:tab w:val="left" w:pos="1600"/>
        </w:tabs>
        <w:ind w:right="744"/>
        <w:rPr>
          <w:sz w:val="24"/>
        </w:rPr>
      </w:pPr>
      <w:r>
        <w:rPr>
          <w:sz w:val="24"/>
        </w:rPr>
        <w:t xml:space="preserve">Sample storage and disposal requirements </w:t>
      </w:r>
      <w:r w:rsidR="006157DA">
        <w:rPr>
          <w:sz w:val="24"/>
        </w:rPr>
        <w:t>are</w:t>
      </w:r>
      <w:r w:rsidR="006157DA" w:rsidRPr="00D55B14">
        <w:rPr>
          <w:spacing w:val="-10"/>
          <w:sz w:val="24"/>
        </w:rPr>
        <w:t xml:space="preserve"> </w:t>
      </w:r>
      <w:r w:rsidR="006157DA">
        <w:rPr>
          <w:sz w:val="24"/>
        </w:rPr>
        <w:t xml:space="preserve">clearly communicated </w:t>
      </w:r>
      <w:r>
        <w:rPr>
          <w:sz w:val="24"/>
        </w:rPr>
        <w:t xml:space="preserve">(including archival storage, depending on </w:t>
      </w:r>
      <w:r w:rsidR="00547C16">
        <w:rPr>
          <w:sz w:val="24"/>
        </w:rPr>
        <w:t xml:space="preserve">the </w:t>
      </w:r>
      <w:r>
        <w:rPr>
          <w:sz w:val="24"/>
        </w:rPr>
        <w:t xml:space="preserve">policy of </w:t>
      </w:r>
      <w:r w:rsidR="00547C16">
        <w:rPr>
          <w:sz w:val="24"/>
        </w:rPr>
        <w:t xml:space="preserve">the </w:t>
      </w:r>
      <w:r>
        <w:rPr>
          <w:sz w:val="24"/>
        </w:rPr>
        <w:t>lab)</w:t>
      </w:r>
      <w:r w:rsidR="006157DA">
        <w:rPr>
          <w:sz w:val="24"/>
        </w:rPr>
        <w:t>.</w:t>
      </w:r>
    </w:p>
    <w:p w14:paraId="0D215AF2" w14:textId="3771C899" w:rsidR="00A94533" w:rsidRDefault="00A94533">
      <w:pPr>
        <w:rPr>
          <w:sz w:val="24"/>
        </w:rPr>
      </w:pPr>
    </w:p>
    <w:p w14:paraId="32958037" w14:textId="7C1B56C2" w:rsidR="0003067B" w:rsidRDefault="0003067B" w:rsidP="009C1EAC">
      <w:pPr>
        <w:ind w:left="450" w:hanging="450"/>
        <w:rPr>
          <w:sz w:val="24"/>
        </w:rPr>
      </w:pPr>
      <w:r w:rsidRPr="005A75DA">
        <w:rPr>
          <w:b/>
          <w:bCs/>
          <w:sz w:val="24"/>
        </w:rPr>
        <w:t>6</w:t>
      </w:r>
      <w:r w:rsidR="005A75DA">
        <w:rPr>
          <w:b/>
          <w:bCs/>
          <w:sz w:val="24"/>
        </w:rPr>
        <w:t>)</w:t>
      </w:r>
      <w:r>
        <w:rPr>
          <w:sz w:val="24"/>
        </w:rPr>
        <w:t xml:space="preserve">   </w:t>
      </w:r>
      <w:r w:rsidRPr="009C1EAC">
        <w:rPr>
          <w:b/>
          <w:bCs/>
          <w:sz w:val="24"/>
        </w:rPr>
        <w:t>Relevant Guidance Documents</w:t>
      </w:r>
    </w:p>
    <w:p w14:paraId="67CC6DC4" w14:textId="4DEB71D5" w:rsidR="0003067B" w:rsidRPr="009C1EAC" w:rsidRDefault="0003067B" w:rsidP="005A75DA">
      <w:pPr>
        <w:pStyle w:val="ListParagraph"/>
        <w:numPr>
          <w:ilvl w:val="1"/>
          <w:numId w:val="3"/>
        </w:numPr>
        <w:rPr>
          <w:sz w:val="24"/>
        </w:rPr>
      </w:pPr>
      <w:r w:rsidRPr="009C1EAC">
        <w:rPr>
          <w:sz w:val="24"/>
        </w:rPr>
        <w:t>ISO 17043:2010:  Conformity assessment — General requirements for proficiency testing</w:t>
      </w:r>
    </w:p>
    <w:p w14:paraId="3F9D7BA9" w14:textId="7C48BC3D" w:rsidR="0003067B" w:rsidRPr="009C1EAC" w:rsidRDefault="0003067B" w:rsidP="005A75DA">
      <w:pPr>
        <w:pStyle w:val="ListParagraph"/>
        <w:numPr>
          <w:ilvl w:val="1"/>
          <w:numId w:val="3"/>
        </w:numPr>
        <w:rPr>
          <w:sz w:val="24"/>
        </w:rPr>
      </w:pPr>
      <w:r w:rsidRPr="009C1EAC">
        <w:rPr>
          <w:sz w:val="24"/>
        </w:rPr>
        <w:t>ISO Guide 35:2017(E):  Reference materials — Guidance for characterization and assessment of homogeneity and stability</w:t>
      </w:r>
    </w:p>
    <w:p w14:paraId="1BC0D65F" w14:textId="31402417" w:rsidR="0003067B" w:rsidRDefault="0003067B" w:rsidP="005A75DA">
      <w:pPr>
        <w:pStyle w:val="ListParagraph"/>
        <w:numPr>
          <w:ilvl w:val="1"/>
          <w:numId w:val="3"/>
        </w:numPr>
        <w:rPr>
          <w:sz w:val="24"/>
        </w:rPr>
      </w:pPr>
      <w:r w:rsidRPr="008B0DE9">
        <w:rPr>
          <w:sz w:val="24"/>
        </w:rPr>
        <w:t>ISO 13528:2015(</w:t>
      </w:r>
      <w:r w:rsidRPr="00805B40">
        <w:rPr>
          <w:sz w:val="24"/>
        </w:rPr>
        <w:t xml:space="preserve">E):  </w:t>
      </w:r>
      <w:r w:rsidRPr="00D15DC3">
        <w:rPr>
          <w:sz w:val="24"/>
        </w:rPr>
        <w:t>Statistical methods for use in proficiency testing by interlaboratory comparison</w:t>
      </w:r>
    </w:p>
    <w:p w14:paraId="758E6568" w14:textId="125BD9A0" w:rsidR="0003067B" w:rsidRPr="009C1EAC" w:rsidRDefault="0003067B" w:rsidP="005A75DA">
      <w:pPr>
        <w:pStyle w:val="ListParagraph"/>
        <w:numPr>
          <w:ilvl w:val="1"/>
          <w:numId w:val="3"/>
        </w:numPr>
        <w:rPr>
          <w:sz w:val="24"/>
        </w:rPr>
      </w:pPr>
      <w:r w:rsidRPr="009C1EAC">
        <w:rPr>
          <w:sz w:val="24"/>
        </w:rPr>
        <w:t>ISO/FDIS 22117:2018(E)</w:t>
      </w:r>
      <w:r w:rsidR="0073719A" w:rsidRPr="009C1EAC">
        <w:rPr>
          <w:sz w:val="24"/>
        </w:rPr>
        <w:t>:  Microbiology of the food chain — Specific requirements and guidance for proficiency testing by interlaboratory comparison</w:t>
      </w:r>
    </w:p>
    <w:p w14:paraId="7D759D4E" w14:textId="79BF1794" w:rsidR="0073719A" w:rsidRPr="009C1EAC" w:rsidRDefault="0073719A" w:rsidP="005A75DA">
      <w:pPr>
        <w:pStyle w:val="ListParagraph"/>
        <w:numPr>
          <w:ilvl w:val="1"/>
          <w:numId w:val="3"/>
        </w:numPr>
        <w:rPr>
          <w:sz w:val="24"/>
        </w:rPr>
      </w:pPr>
      <w:r w:rsidRPr="009C1EAC">
        <w:rPr>
          <w:sz w:val="24"/>
        </w:rPr>
        <w:t xml:space="preserve">ISO 16140-2:2016(E):  Microbiology of the food chain — Method validation </w:t>
      </w:r>
    </w:p>
    <w:p w14:paraId="2F55E9B3" w14:textId="3C4F8B60" w:rsidR="00A833E5" w:rsidRDefault="0073719A" w:rsidP="005A75DA">
      <w:pPr>
        <w:ind w:left="720"/>
        <w:rPr>
          <w:sz w:val="24"/>
        </w:rPr>
      </w:pPr>
      <w:r w:rsidRPr="008B0DE9">
        <w:rPr>
          <w:sz w:val="24"/>
        </w:rPr>
        <w:t xml:space="preserve">Part 2: </w:t>
      </w:r>
      <w:r w:rsidRPr="00805B40">
        <w:rPr>
          <w:sz w:val="24"/>
        </w:rPr>
        <w:t>Protocol for the validation of alternative (proprietary) methods against a reference method</w:t>
      </w:r>
    </w:p>
    <w:p w14:paraId="28D31500" w14:textId="671AE422" w:rsidR="00B1423A" w:rsidRPr="00A833E5" w:rsidRDefault="00B1423A" w:rsidP="00A833E5">
      <w:pPr>
        <w:pStyle w:val="ListParagraph"/>
        <w:numPr>
          <w:ilvl w:val="1"/>
          <w:numId w:val="3"/>
        </w:numPr>
        <w:rPr>
          <w:sz w:val="24"/>
          <w:szCs w:val="24"/>
        </w:rPr>
      </w:pPr>
      <w:r w:rsidRPr="00A833E5">
        <w:rPr>
          <w:sz w:val="24"/>
          <w:szCs w:val="24"/>
        </w:rPr>
        <w:t>ANSI National Standards Institute, ANSI N42.22-1995, “Traceability of Radioactive Sources to the National Institute of Standards and Technology (NIST) and Associated Instrument Quality Control.”</w:t>
      </w:r>
    </w:p>
    <w:p w14:paraId="18D79701" w14:textId="3DB5053F" w:rsidR="00A833E5" w:rsidRPr="00A833E5" w:rsidRDefault="00B1423A" w:rsidP="00A833E5">
      <w:pPr>
        <w:pStyle w:val="ListParagraph"/>
        <w:numPr>
          <w:ilvl w:val="1"/>
          <w:numId w:val="3"/>
        </w:numPr>
        <w:rPr>
          <w:sz w:val="24"/>
          <w:szCs w:val="24"/>
        </w:rPr>
      </w:pPr>
      <w:r w:rsidRPr="00A833E5">
        <w:rPr>
          <w:sz w:val="24"/>
          <w:szCs w:val="24"/>
        </w:rPr>
        <w:t xml:space="preserve">ANSI National Standards Institute, ANSI N13.30-2011, “Performance Criteria for </w:t>
      </w:r>
      <w:proofErr w:type="spellStart"/>
      <w:r w:rsidRPr="00A833E5">
        <w:rPr>
          <w:sz w:val="24"/>
          <w:szCs w:val="24"/>
        </w:rPr>
        <w:lastRenderedPageBreak/>
        <w:t>Radiobioassay</w:t>
      </w:r>
      <w:proofErr w:type="spellEnd"/>
      <w:r w:rsidRPr="00A833E5">
        <w:rPr>
          <w:sz w:val="24"/>
          <w:szCs w:val="24"/>
        </w:rPr>
        <w:t>.”</w:t>
      </w:r>
    </w:p>
    <w:p w14:paraId="232D51EC" w14:textId="649704B9" w:rsidR="00B1423A" w:rsidRPr="00A833E5" w:rsidRDefault="00B1423A" w:rsidP="00A833E5">
      <w:pPr>
        <w:pStyle w:val="ListParagraph"/>
        <w:numPr>
          <w:ilvl w:val="1"/>
          <w:numId w:val="3"/>
        </w:numPr>
        <w:rPr>
          <w:sz w:val="24"/>
          <w:szCs w:val="24"/>
        </w:rPr>
      </w:pPr>
      <w:r w:rsidRPr="00A833E5">
        <w:rPr>
          <w:sz w:val="24"/>
          <w:szCs w:val="24"/>
        </w:rPr>
        <w:t>ISO 17034:2016. General requirements for the competence of reference material producers</w:t>
      </w:r>
    </w:p>
    <w:p w14:paraId="52BC80DE" w14:textId="7346A77A" w:rsidR="00A833E5" w:rsidRPr="00A833E5" w:rsidRDefault="00C35DAC" w:rsidP="00A833E5">
      <w:pPr>
        <w:pStyle w:val="ListParagraph"/>
        <w:numPr>
          <w:ilvl w:val="1"/>
          <w:numId w:val="3"/>
        </w:numPr>
        <w:rPr>
          <w:sz w:val="24"/>
          <w:szCs w:val="24"/>
        </w:rPr>
      </w:pPr>
      <w:r w:rsidRPr="00A833E5">
        <w:rPr>
          <w:sz w:val="24"/>
          <w:szCs w:val="24"/>
        </w:rPr>
        <w:t>ISO/IEC 17025:2017. General requirements for the competence of testing and calibration laboratories</w:t>
      </w:r>
    </w:p>
    <w:p w14:paraId="2C3E7ABC" w14:textId="7893E7FB" w:rsidR="004048B0" w:rsidRPr="00A833E5" w:rsidRDefault="004048B0" w:rsidP="00A833E5">
      <w:pPr>
        <w:pStyle w:val="ListParagraph"/>
        <w:numPr>
          <w:ilvl w:val="1"/>
          <w:numId w:val="3"/>
        </w:numPr>
        <w:rPr>
          <w:sz w:val="24"/>
          <w:szCs w:val="24"/>
        </w:rPr>
      </w:pPr>
      <w:r w:rsidRPr="00A833E5">
        <w:rPr>
          <w:sz w:val="24"/>
          <w:szCs w:val="24"/>
        </w:rPr>
        <w:t xml:space="preserve">ANSI N42-23-1996 - Measurement and Associated Instrument Quality Assurance for </w:t>
      </w:r>
      <w:proofErr w:type="spellStart"/>
      <w:r w:rsidRPr="00A833E5">
        <w:rPr>
          <w:sz w:val="24"/>
          <w:szCs w:val="24"/>
        </w:rPr>
        <w:t>Radioassay</w:t>
      </w:r>
      <w:proofErr w:type="spellEnd"/>
      <w:r w:rsidRPr="00A833E5">
        <w:rPr>
          <w:sz w:val="24"/>
          <w:szCs w:val="24"/>
        </w:rPr>
        <w:t xml:space="preserve"> Laboratories</w:t>
      </w:r>
    </w:p>
    <w:p w14:paraId="5A508727" w14:textId="73F740D5" w:rsidR="004048B0" w:rsidRPr="00A833E5" w:rsidRDefault="004048B0" w:rsidP="00A833E5">
      <w:pPr>
        <w:widowControl/>
        <w:adjustRightInd w:val="0"/>
        <w:ind w:left="720" w:firstLine="720"/>
        <w:rPr>
          <w:sz w:val="24"/>
        </w:rPr>
      </w:pPr>
    </w:p>
    <w:p w14:paraId="5C152D1C" w14:textId="77777777" w:rsidR="00495453" w:rsidRPr="00D15DC3" w:rsidRDefault="00495453" w:rsidP="005A75DA">
      <w:pPr>
        <w:ind w:left="720"/>
        <w:rPr>
          <w:sz w:val="24"/>
        </w:rPr>
      </w:pPr>
    </w:p>
    <w:p w14:paraId="47C43E99" w14:textId="4EA242EE" w:rsidR="0003067B" w:rsidRDefault="0003067B" w:rsidP="0003067B">
      <w:pPr>
        <w:ind w:left="450"/>
        <w:rPr>
          <w:sz w:val="24"/>
        </w:rPr>
      </w:pPr>
    </w:p>
    <w:p w14:paraId="201DF0CC" w14:textId="37AB7B21" w:rsidR="009C1EAC" w:rsidRDefault="009C1EAC" w:rsidP="007F3F8E">
      <w:pPr>
        <w:rPr>
          <w:sz w:val="24"/>
        </w:rPr>
      </w:pPr>
    </w:p>
    <w:p w14:paraId="489F8398" w14:textId="2A88398F" w:rsidR="009C1EAC" w:rsidRDefault="009C1EAC" w:rsidP="0003067B">
      <w:pPr>
        <w:ind w:left="450"/>
        <w:rPr>
          <w:sz w:val="24"/>
        </w:rPr>
      </w:pPr>
    </w:p>
    <w:p w14:paraId="58D2E138" w14:textId="01E4EF5D" w:rsidR="00850809" w:rsidRPr="00743C7B" w:rsidRDefault="0073719A" w:rsidP="00A410A2">
      <w:pPr>
        <w:pStyle w:val="ListParagraph"/>
        <w:tabs>
          <w:tab w:val="left" w:pos="1570"/>
        </w:tabs>
        <w:ind w:right="195" w:firstLine="0"/>
        <w:rPr>
          <w:noProof/>
        </w:rPr>
      </w:pPr>
      <w:r>
        <w:rPr>
          <w:b/>
          <w:bCs/>
          <w:sz w:val="24"/>
        </w:rPr>
        <w:t xml:space="preserve">                                              </w:t>
      </w:r>
    </w:p>
    <w:sectPr w:rsidR="00850809" w:rsidRPr="00743C7B" w:rsidSect="00662A18">
      <w:footerReference w:type="default" r:id="rId11"/>
      <w:pgSz w:w="12240" w:h="15840"/>
      <w:pgMar w:top="1220" w:right="1280" w:bottom="1360" w:left="12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3DA0E" w14:textId="77777777" w:rsidR="0033363E" w:rsidRDefault="0033363E">
      <w:r>
        <w:separator/>
      </w:r>
    </w:p>
  </w:endnote>
  <w:endnote w:type="continuationSeparator" w:id="0">
    <w:p w14:paraId="6ADB3924" w14:textId="77777777" w:rsidR="0033363E" w:rsidRDefault="0033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1920443"/>
      <w:docPartObj>
        <w:docPartGallery w:val="Page Numbers (Bottom of Page)"/>
        <w:docPartUnique/>
      </w:docPartObj>
    </w:sdtPr>
    <w:sdtEndPr>
      <w:rPr>
        <w:noProof/>
      </w:rPr>
    </w:sdtEndPr>
    <w:sdtContent>
      <w:p w14:paraId="75E6D7FC" w14:textId="69812BCB" w:rsidR="008015A8" w:rsidRDefault="008015A8" w:rsidP="008015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1B2261" w14:textId="7D77BEFC" w:rsidR="008015A8" w:rsidRDefault="00801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D9690" w14:textId="77777777" w:rsidR="0033363E" w:rsidRDefault="0033363E">
      <w:r>
        <w:separator/>
      </w:r>
    </w:p>
  </w:footnote>
  <w:footnote w:type="continuationSeparator" w:id="0">
    <w:p w14:paraId="0E053412" w14:textId="77777777" w:rsidR="0033363E" w:rsidRDefault="00333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008C"/>
    <w:multiLevelType w:val="multilevel"/>
    <w:tmpl w:val="A4F4D7F4"/>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sz w:val="22"/>
        <w:szCs w:val="22"/>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 w15:restartNumberingAfterBreak="0">
    <w:nsid w:val="08B5357D"/>
    <w:multiLevelType w:val="hybridMultilevel"/>
    <w:tmpl w:val="72E898A2"/>
    <w:lvl w:ilvl="0" w:tplc="54D0259E">
      <w:start w:val="10"/>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60D6DEA"/>
    <w:multiLevelType w:val="hybridMultilevel"/>
    <w:tmpl w:val="12E6460C"/>
    <w:lvl w:ilvl="0" w:tplc="AF200E9E">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642957"/>
    <w:multiLevelType w:val="hybridMultilevel"/>
    <w:tmpl w:val="5AA4B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373F56"/>
    <w:multiLevelType w:val="hybridMultilevel"/>
    <w:tmpl w:val="1BCA7BAE"/>
    <w:lvl w:ilvl="0" w:tplc="D3223F6A">
      <w:start w:val="10"/>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EA04F89"/>
    <w:multiLevelType w:val="multilevel"/>
    <w:tmpl w:val="2D684082"/>
    <w:lvl w:ilvl="0">
      <w:start w:val="1"/>
      <w:numFmt w:val="decimal"/>
      <w:lvlText w:val="%1)"/>
      <w:lvlJc w:val="left"/>
      <w:pPr>
        <w:ind w:left="360" w:hanging="360"/>
      </w:pPr>
      <w:rPr>
        <w:rFonts w:hint="default"/>
        <w:spacing w:val="-1"/>
        <w:w w:val="100"/>
        <w:sz w:val="24"/>
        <w:szCs w:val="24"/>
      </w:rPr>
    </w:lvl>
    <w:lvl w:ilvl="1">
      <w:start w:val="1"/>
      <w:numFmt w:val="lowerLetter"/>
      <w:lvlText w:val="%2)"/>
      <w:lvlJc w:val="left"/>
      <w:pPr>
        <w:ind w:left="720" w:hanging="360"/>
      </w:pPr>
      <w:rPr>
        <w:rFonts w:hint="default"/>
        <w:color w:val="auto"/>
        <w:spacing w:val="-2"/>
        <w:w w:val="99"/>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1530" w:hanging="360"/>
      </w:pPr>
      <w:rPr>
        <w:rFonts w:hint="default"/>
      </w:rPr>
    </w:lvl>
  </w:abstractNum>
  <w:abstractNum w:abstractNumId="6" w15:restartNumberingAfterBreak="0">
    <w:nsid w:val="4B135975"/>
    <w:multiLevelType w:val="hybridMultilevel"/>
    <w:tmpl w:val="3566E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9734B0"/>
    <w:multiLevelType w:val="multilevel"/>
    <w:tmpl w:val="A4F4D7F4"/>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sz w:val="22"/>
        <w:szCs w:val="22"/>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74217322"/>
    <w:multiLevelType w:val="multilevel"/>
    <w:tmpl w:val="A4F4D7F4"/>
    <w:lvl w:ilvl="0">
      <w:start w:val="1"/>
      <w:numFmt w:val="decimal"/>
      <w:lvlText w:val="%1)"/>
      <w:lvlJc w:val="left"/>
      <w:pPr>
        <w:ind w:left="1080" w:hanging="360"/>
      </w:pPr>
      <w:rPr>
        <w:rFonts w:hint="default"/>
      </w:rPr>
    </w:lvl>
    <w:lvl w:ilvl="1">
      <w:start w:val="1"/>
      <w:numFmt w:val="lowerLetter"/>
      <w:lvlText w:val="%2)"/>
      <w:lvlJc w:val="left"/>
      <w:pPr>
        <w:ind w:left="720" w:hanging="360"/>
      </w:pPr>
      <w:rPr>
        <w:rFonts w:hint="default"/>
        <w:sz w:val="22"/>
        <w:szCs w:val="22"/>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7C633D06"/>
    <w:multiLevelType w:val="hybridMultilevel"/>
    <w:tmpl w:val="B8BA5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3"/>
  </w:num>
  <w:num w:numId="5">
    <w:abstractNumId w:val="2"/>
  </w:num>
  <w:num w:numId="6">
    <w:abstractNumId w:val="0"/>
  </w:num>
  <w:num w:numId="7">
    <w:abstractNumId w:val="7"/>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1tDAzMzcxNzY1MTFQ0lEKTi0uzszPAykwrgUAgJ0ceCwAAAA="/>
  </w:docVars>
  <w:rsids>
    <w:rsidRoot w:val="00D85D1A"/>
    <w:rsid w:val="00000A21"/>
    <w:rsid w:val="00004EA3"/>
    <w:rsid w:val="00004FA9"/>
    <w:rsid w:val="00022621"/>
    <w:rsid w:val="0003067B"/>
    <w:rsid w:val="00032AEE"/>
    <w:rsid w:val="00035F38"/>
    <w:rsid w:val="00043A13"/>
    <w:rsid w:val="00056B3A"/>
    <w:rsid w:val="00067902"/>
    <w:rsid w:val="00077160"/>
    <w:rsid w:val="00077497"/>
    <w:rsid w:val="00077805"/>
    <w:rsid w:val="00080938"/>
    <w:rsid w:val="000810A6"/>
    <w:rsid w:val="00082644"/>
    <w:rsid w:val="000833C1"/>
    <w:rsid w:val="00091CD2"/>
    <w:rsid w:val="000A2568"/>
    <w:rsid w:val="000C03DC"/>
    <w:rsid w:val="000C2B41"/>
    <w:rsid w:val="000E5C51"/>
    <w:rsid w:val="000F7118"/>
    <w:rsid w:val="00101463"/>
    <w:rsid w:val="00136113"/>
    <w:rsid w:val="0015501D"/>
    <w:rsid w:val="00167EBB"/>
    <w:rsid w:val="001A4677"/>
    <w:rsid w:val="001B526F"/>
    <w:rsid w:val="001D40CD"/>
    <w:rsid w:val="001E429A"/>
    <w:rsid w:val="001F521C"/>
    <w:rsid w:val="00202088"/>
    <w:rsid w:val="002268AB"/>
    <w:rsid w:val="00226CF7"/>
    <w:rsid w:val="002270E1"/>
    <w:rsid w:val="00234F11"/>
    <w:rsid w:val="00254A00"/>
    <w:rsid w:val="00265AB5"/>
    <w:rsid w:val="00266BC2"/>
    <w:rsid w:val="0027010F"/>
    <w:rsid w:val="002944AB"/>
    <w:rsid w:val="002A7247"/>
    <w:rsid w:val="002B4E58"/>
    <w:rsid w:val="002E7096"/>
    <w:rsid w:val="002F04C4"/>
    <w:rsid w:val="002F7266"/>
    <w:rsid w:val="0030439C"/>
    <w:rsid w:val="00310A81"/>
    <w:rsid w:val="0031696C"/>
    <w:rsid w:val="0033363E"/>
    <w:rsid w:val="0035201C"/>
    <w:rsid w:val="003735B1"/>
    <w:rsid w:val="00392577"/>
    <w:rsid w:val="00394342"/>
    <w:rsid w:val="003B2AAA"/>
    <w:rsid w:val="003D0D49"/>
    <w:rsid w:val="003D20DD"/>
    <w:rsid w:val="003F3B94"/>
    <w:rsid w:val="003F45EA"/>
    <w:rsid w:val="0040195F"/>
    <w:rsid w:val="004048B0"/>
    <w:rsid w:val="00413B43"/>
    <w:rsid w:val="00421493"/>
    <w:rsid w:val="004253FE"/>
    <w:rsid w:val="00491D44"/>
    <w:rsid w:val="00495453"/>
    <w:rsid w:val="004B6C5C"/>
    <w:rsid w:val="004C19EF"/>
    <w:rsid w:val="004F4045"/>
    <w:rsid w:val="005027DF"/>
    <w:rsid w:val="00502DD2"/>
    <w:rsid w:val="00511BAA"/>
    <w:rsid w:val="00523F49"/>
    <w:rsid w:val="00530BC8"/>
    <w:rsid w:val="00545999"/>
    <w:rsid w:val="00547C16"/>
    <w:rsid w:val="005656F5"/>
    <w:rsid w:val="00566E11"/>
    <w:rsid w:val="00567892"/>
    <w:rsid w:val="00570488"/>
    <w:rsid w:val="00574C2E"/>
    <w:rsid w:val="005765E2"/>
    <w:rsid w:val="00585081"/>
    <w:rsid w:val="00592B81"/>
    <w:rsid w:val="005A3298"/>
    <w:rsid w:val="005A75DA"/>
    <w:rsid w:val="005B3031"/>
    <w:rsid w:val="005B5BE5"/>
    <w:rsid w:val="005D4A2E"/>
    <w:rsid w:val="005F058E"/>
    <w:rsid w:val="005F07E0"/>
    <w:rsid w:val="005F4CB6"/>
    <w:rsid w:val="00610FD0"/>
    <w:rsid w:val="0061256A"/>
    <w:rsid w:val="006157DA"/>
    <w:rsid w:val="0063483D"/>
    <w:rsid w:val="00635EBD"/>
    <w:rsid w:val="00644661"/>
    <w:rsid w:val="0066034F"/>
    <w:rsid w:val="00662A18"/>
    <w:rsid w:val="00664021"/>
    <w:rsid w:val="006706D2"/>
    <w:rsid w:val="00672227"/>
    <w:rsid w:val="006878D0"/>
    <w:rsid w:val="0069770A"/>
    <w:rsid w:val="006B4A66"/>
    <w:rsid w:val="006B7472"/>
    <w:rsid w:val="006B74FC"/>
    <w:rsid w:val="006B7FD3"/>
    <w:rsid w:val="006E7B3F"/>
    <w:rsid w:val="0071200E"/>
    <w:rsid w:val="0072147A"/>
    <w:rsid w:val="00722E1E"/>
    <w:rsid w:val="007275B6"/>
    <w:rsid w:val="00731B6D"/>
    <w:rsid w:val="00731BCF"/>
    <w:rsid w:val="0073719A"/>
    <w:rsid w:val="00741BA8"/>
    <w:rsid w:val="00743C7B"/>
    <w:rsid w:val="00750BC6"/>
    <w:rsid w:val="00757BD9"/>
    <w:rsid w:val="00772056"/>
    <w:rsid w:val="00772982"/>
    <w:rsid w:val="007818A1"/>
    <w:rsid w:val="007B1A8E"/>
    <w:rsid w:val="007B28D7"/>
    <w:rsid w:val="007D3950"/>
    <w:rsid w:val="007E1BDE"/>
    <w:rsid w:val="007E3772"/>
    <w:rsid w:val="007F2E28"/>
    <w:rsid w:val="007F3F8E"/>
    <w:rsid w:val="007F74DE"/>
    <w:rsid w:val="008015A8"/>
    <w:rsid w:val="00805B40"/>
    <w:rsid w:val="00807E9B"/>
    <w:rsid w:val="00830024"/>
    <w:rsid w:val="00831C85"/>
    <w:rsid w:val="00850809"/>
    <w:rsid w:val="008604C7"/>
    <w:rsid w:val="008660DD"/>
    <w:rsid w:val="008848D9"/>
    <w:rsid w:val="0089031B"/>
    <w:rsid w:val="00893143"/>
    <w:rsid w:val="008A25B3"/>
    <w:rsid w:val="008B0DE9"/>
    <w:rsid w:val="008D06BE"/>
    <w:rsid w:val="008D1247"/>
    <w:rsid w:val="008D6E70"/>
    <w:rsid w:val="008E3665"/>
    <w:rsid w:val="008F75EA"/>
    <w:rsid w:val="00902588"/>
    <w:rsid w:val="00912DB9"/>
    <w:rsid w:val="00913C1E"/>
    <w:rsid w:val="00961441"/>
    <w:rsid w:val="00962598"/>
    <w:rsid w:val="0097680A"/>
    <w:rsid w:val="00982A2E"/>
    <w:rsid w:val="00995F51"/>
    <w:rsid w:val="009A6A0A"/>
    <w:rsid w:val="009B3EE2"/>
    <w:rsid w:val="009B57AC"/>
    <w:rsid w:val="009C1EAC"/>
    <w:rsid w:val="009C41F7"/>
    <w:rsid w:val="009C7476"/>
    <w:rsid w:val="009D64CE"/>
    <w:rsid w:val="00A00883"/>
    <w:rsid w:val="00A17B32"/>
    <w:rsid w:val="00A23CC4"/>
    <w:rsid w:val="00A410A2"/>
    <w:rsid w:val="00A46E3E"/>
    <w:rsid w:val="00A538E8"/>
    <w:rsid w:val="00A543E7"/>
    <w:rsid w:val="00A6008E"/>
    <w:rsid w:val="00A646C3"/>
    <w:rsid w:val="00A71E70"/>
    <w:rsid w:val="00A757B9"/>
    <w:rsid w:val="00A833E5"/>
    <w:rsid w:val="00A909EF"/>
    <w:rsid w:val="00A94533"/>
    <w:rsid w:val="00A97002"/>
    <w:rsid w:val="00AA23EC"/>
    <w:rsid w:val="00AA34C7"/>
    <w:rsid w:val="00AB1481"/>
    <w:rsid w:val="00AE173C"/>
    <w:rsid w:val="00AE375C"/>
    <w:rsid w:val="00B01AD2"/>
    <w:rsid w:val="00B1398B"/>
    <w:rsid w:val="00B1423A"/>
    <w:rsid w:val="00B31C07"/>
    <w:rsid w:val="00B36DFA"/>
    <w:rsid w:val="00BA2670"/>
    <w:rsid w:val="00BA61EF"/>
    <w:rsid w:val="00BC0668"/>
    <w:rsid w:val="00BC59A0"/>
    <w:rsid w:val="00BE11CF"/>
    <w:rsid w:val="00BF537E"/>
    <w:rsid w:val="00C01FCB"/>
    <w:rsid w:val="00C13032"/>
    <w:rsid w:val="00C35DAC"/>
    <w:rsid w:val="00C473AB"/>
    <w:rsid w:val="00C556F5"/>
    <w:rsid w:val="00C72CAA"/>
    <w:rsid w:val="00C95C48"/>
    <w:rsid w:val="00CA3FA6"/>
    <w:rsid w:val="00CB6E2B"/>
    <w:rsid w:val="00CC13C9"/>
    <w:rsid w:val="00CC2F18"/>
    <w:rsid w:val="00CC4E20"/>
    <w:rsid w:val="00D15DC3"/>
    <w:rsid w:val="00D25FAB"/>
    <w:rsid w:val="00D26910"/>
    <w:rsid w:val="00D41F0F"/>
    <w:rsid w:val="00D42230"/>
    <w:rsid w:val="00D5493F"/>
    <w:rsid w:val="00D55B14"/>
    <w:rsid w:val="00D726B8"/>
    <w:rsid w:val="00D85D1A"/>
    <w:rsid w:val="00D86897"/>
    <w:rsid w:val="00DA660D"/>
    <w:rsid w:val="00DB1272"/>
    <w:rsid w:val="00DB52B0"/>
    <w:rsid w:val="00DB69A1"/>
    <w:rsid w:val="00DC541C"/>
    <w:rsid w:val="00DD5828"/>
    <w:rsid w:val="00DE3D70"/>
    <w:rsid w:val="00DF5EDA"/>
    <w:rsid w:val="00E10B88"/>
    <w:rsid w:val="00E25BF1"/>
    <w:rsid w:val="00E35AEA"/>
    <w:rsid w:val="00E36969"/>
    <w:rsid w:val="00E3703B"/>
    <w:rsid w:val="00E44070"/>
    <w:rsid w:val="00E52AFE"/>
    <w:rsid w:val="00E5354A"/>
    <w:rsid w:val="00E63174"/>
    <w:rsid w:val="00E8105D"/>
    <w:rsid w:val="00E87AD9"/>
    <w:rsid w:val="00E90FDC"/>
    <w:rsid w:val="00E96C28"/>
    <w:rsid w:val="00E96E31"/>
    <w:rsid w:val="00EC1EFD"/>
    <w:rsid w:val="00EC3164"/>
    <w:rsid w:val="00ED47B0"/>
    <w:rsid w:val="00EE026A"/>
    <w:rsid w:val="00EE1FC6"/>
    <w:rsid w:val="00F024F4"/>
    <w:rsid w:val="00F319EC"/>
    <w:rsid w:val="00F45A6D"/>
    <w:rsid w:val="00F465D8"/>
    <w:rsid w:val="00F564C9"/>
    <w:rsid w:val="00F737C5"/>
    <w:rsid w:val="00F7508B"/>
    <w:rsid w:val="00FA7654"/>
    <w:rsid w:val="00FB0F1D"/>
    <w:rsid w:val="00FE1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B3F7F"/>
  <w15:docId w15:val="{AA267723-9A2A-48C1-A63F-B0D32B4CC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98" w:hanging="154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00" w:hanging="360"/>
    </w:pPr>
    <w:rPr>
      <w:sz w:val="24"/>
      <w:szCs w:val="24"/>
    </w:rPr>
  </w:style>
  <w:style w:type="paragraph" w:styleId="ListParagraph">
    <w:name w:val="List Paragraph"/>
    <w:basedOn w:val="Normal"/>
    <w:uiPriority w:val="34"/>
    <w:qFormat/>
    <w:pPr>
      <w:ind w:left="160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35201C"/>
    <w:rPr>
      <w:sz w:val="16"/>
      <w:szCs w:val="16"/>
    </w:rPr>
  </w:style>
  <w:style w:type="paragraph" w:styleId="CommentText">
    <w:name w:val="annotation text"/>
    <w:basedOn w:val="Normal"/>
    <w:link w:val="CommentTextChar"/>
    <w:uiPriority w:val="99"/>
    <w:semiHidden/>
    <w:unhideWhenUsed/>
    <w:rsid w:val="0035201C"/>
    <w:rPr>
      <w:sz w:val="20"/>
      <w:szCs w:val="20"/>
    </w:rPr>
  </w:style>
  <w:style w:type="character" w:customStyle="1" w:styleId="CommentTextChar">
    <w:name w:val="Comment Text Char"/>
    <w:basedOn w:val="DefaultParagraphFont"/>
    <w:link w:val="CommentText"/>
    <w:uiPriority w:val="99"/>
    <w:semiHidden/>
    <w:rsid w:val="0035201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201C"/>
    <w:rPr>
      <w:b/>
      <w:bCs/>
    </w:rPr>
  </w:style>
  <w:style w:type="character" w:customStyle="1" w:styleId="CommentSubjectChar">
    <w:name w:val="Comment Subject Char"/>
    <w:basedOn w:val="CommentTextChar"/>
    <w:link w:val="CommentSubject"/>
    <w:uiPriority w:val="99"/>
    <w:semiHidden/>
    <w:rsid w:val="0035201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520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01C"/>
    <w:rPr>
      <w:rFonts w:ascii="Segoe UI" w:eastAsia="Times New Roman" w:hAnsi="Segoe UI" w:cs="Segoe UI"/>
      <w:sz w:val="18"/>
      <w:szCs w:val="18"/>
    </w:rPr>
  </w:style>
  <w:style w:type="character" w:styleId="Hyperlink">
    <w:name w:val="Hyperlink"/>
    <w:basedOn w:val="DefaultParagraphFont"/>
    <w:uiPriority w:val="99"/>
    <w:rsid w:val="00032AEE"/>
    <w:rPr>
      <w:rFonts w:cs="Times New Roman"/>
      <w:color w:val="0000FF"/>
      <w:u w:val="single"/>
    </w:rPr>
  </w:style>
  <w:style w:type="paragraph" w:styleId="Header">
    <w:name w:val="header"/>
    <w:basedOn w:val="Normal"/>
    <w:link w:val="HeaderChar"/>
    <w:uiPriority w:val="99"/>
    <w:unhideWhenUsed/>
    <w:rsid w:val="006E7B3F"/>
    <w:pPr>
      <w:tabs>
        <w:tab w:val="center" w:pos="4680"/>
        <w:tab w:val="right" w:pos="9360"/>
      </w:tabs>
    </w:pPr>
  </w:style>
  <w:style w:type="character" w:customStyle="1" w:styleId="HeaderChar">
    <w:name w:val="Header Char"/>
    <w:basedOn w:val="DefaultParagraphFont"/>
    <w:link w:val="Header"/>
    <w:uiPriority w:val="99"/>
    <w:rsid w:val="006E7B3F"/>
    <w:rPr>
      <w:rFonts w:ascii="Times New Roman" w:eastAsia="Times New Roman" w:hAnsi="Times New Roman" w:cs="Times New Roman"/>
    </w:rPr>
  </w:style>
  <w:style w:type="paragraph" w:styleId="Footer">
    <w:name w:val="footer"/>
    <w:basedOn w:val="Normal"/>
    <w:link w:val="FooterChar"/>
    <w:uiPriority w:val="99"/>
    <w:unhideWhenUsed/>
    <w:rsid w:val="006E7B3F"/>
    <w:pPr>
      <w:tabs>
        <w:tab w:val="center" w:pos="4680"/>
        <w:tab w:val="right" w:pos="9360"/>
      </w:tabs>
    </w:pPr>
  </w:style>
  <w:style w:type="character" w:customStyle="1" w:styleId="FooterChar">
    <w:name w:val="Footer Char"/>
    <w:basedOn w:val="DefaultParagraphFont"/>
    <w:link w:val="Footer"/>
    <w:uiPriority w:val="99"/>
    <w:rsid w:val="006E7B3F"/>
    <w:rPr>
      <w:rFonts w:ascii="Times New Roman" w:eastAsia="Times New Roman" w:hAnsi="Times New Roman" w:cs="Times New Roman"/>
    </w:rPr>
  </w:style>
  <w:style w:type="paragraph" w:styleId="Revision">
    <w:name w:val="Revision"/>
    <w:hidden/>
    <w:uiPriority w:val="99"/>
    <w:semiHidden/>
    <w:rsid w:val="00A94533"/>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016953">
      <w:bodyDiv w:val="1"/>
      <w:marLeft w:val="0"/>
      <w:marRight w:val="0"/>
      <w:marTop w:val="0"/>
      <w:marBottom w:val="0"/>
      <w:divBdr>
        <w:top w:val="none" w:sz="0" w:space="0" w:color="auto"/>
        <w:left w:val="none" w:sz="0" w:space="0" w:color="auto"/>
        <w:bottom w:val="none" w:sz="0" w:space="0" w:color="auto"/>
        <w:right w:val="none" w:sz="0" w:space="0" w:color="auto"/>
      </w:divBdr>
    </w:div>
    <w:div w:id="1761754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3FE027E793D141A4D0D4B43133F0A9" ma:contentTypeVersion="8" ma:contentTypeDescription="Create a new document." ma:contentTypeScope="" ma:versionID="b56acb5ff45bd0ab1e1f54eb2b46b7fd">
  <xsd:schema xmlns:xsd="http://www.w3.org/2001/XMLSchema" xmlns:xs="http://www.w3.org/2001/XMLSchema" xmlns:p="http://schemas.microsoft.com/office/2006/metadata/properties" xmlns:ns3="5774b216-7350-4865-8b28-a80b4a7f0bbf" targetNamespace="http://schemas.microsoft.com/office/2006/metadata/properties" ma:root="true" ma:fieldsID="eaca6c640406ec38aa53bafcfecbaa26" ns3:_="">
    <xsd:import namespace="5774b216-7350-4865-8b28-a80b4a7f0b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74b216-7350-4865-8b28-a80b4a7f0b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B3326-9304-4444-8CB4-9BF1773365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0B027C-5364-4453-9556-DEFFDE35855B}">
  <ds:schemaRefs>
    <ds:schemaRef ds:uri="http://schemas.microsoft.com/sharepoint/v3/contenttype/forms"/>
  </ds:schemaRefs>
</ds:datastoreItem>
</file>

<file path=customXml/itemProps3.xml><?xml version="1.0" encoding="utf-8"?>
<ds:datastoreItem xmlns:ds="http://schemas.openxmlformats.org/officeDocument/2006/customXml" ds:itemID="{9F87E9E7-A94A-4167-A60B-087CC4A150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74b216-7350-4865-8b28-a80b4a7f0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6A40BD-6BF0-4F1C-83C9-0E4BB3BC1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1421</Words>
  <Characters>8102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Microsoft Word - ICLN PT Guidance final 04222011.docx</vt:lpstr>
    </vt:vector>
  </TitlesOfParts>
  <Company/>
  <LinksUpToDate>false</LinksUpToDate>
  <CharactersWithSpaces>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ICLN PT Guidance final 04222011.docx</dc:title>
  <dc:creator>zoa6</dc:creator>
  <cp:lastModifiedBy>Kristin Pasternak</cp:lastModifiedBy>
  <cp:revision>3</cp:revision>
  <dcterms:created xsi:type="dcterms:W3CDTF">2021-12-13T14:04:00Z</dcterms:created>
  <dcterms:modified xsi:type="dcterms:W3CDTF">2021-12-13T22:19:00Z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2011-04-22T00:00:00Z</vt:filetime>
  </property>
  <property fmtid="{D5CDD505-2E9C-101B-9397-08002B2CF9AE}" pid="3" name="Creator">
    <vt:lpwstr>PScript5.dll Version 5.2.2</vt:lpwstr>
  </property>
  <property fmtid="{D5CDD505-2E9C-101B-9397-08002B2CF9AE}" pid="4" name="LastSaved">
    <vt:filetime>2020-10-08T00:00:00Z</vt:filetime>
  </property>
  <property fmtid="{D5CDD505-2E9C-101B-9397-08002B2CF9AE}" pid="5" name="MSIP_Label_8af03ff0-41c5-4c41-b55e-fabb8fae94be_Enabled">
    <vt:lpwstr>true</vt:lpwstr>
  </property>
  <property fmtid="{D5CDD505-2E9C-101B-9397-08002B2CF9AE}" pid="6" name="MSIP_Label_8af03ff0-41c5-4c41-b55e-fabb8fae94be_SetDate">
    <vt:lpwstr>2021-02-18T12:41:56Z</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iteId">
    <vt:lpwstr>9ce70869-60db-44fd-abe8-d2767077fc8f</vt:lpwstr>
  </property>
  <property fmtid="{D5CDD505-2E9C-101B-9397-08002B2CF9AE}" pid="10" name="MSIP_Label_8af03ff0-41c5-4c41-b55e-fabb8fae94be_ActionId">
    <vt:lpwstr>cd65efef-ce7d-4a2a-8f29-0fd7f8c7955b</vt:lpwstr>
  </property>
  <property fmtid="{D5CDD505-2E9C-101B-9397-08002B2CF9AE}" pid="11" name="MSIP_Label_8af03ff0-41c5-4c41-b55e-fabb8fae94be_ContentBits">
    <vt:lpwstr>0</vt:lpwstr>
  </property>
  <property fmtid="{D5CDD505-2E9C-101B-9397-08002B2CF9AE}" pid="12" name="ContentTypeId">
    <vt:lpwstr>0x0101008E3FE027E793D141A4D0D4B43133F0A9</vt:lpwstr>
  </property>
</Properties>
</file>